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DA847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502913369"/>
      <w:r>
        <w:rPr>
          <w:sz w:val="52"/>
          <w:szCs w:val="52"/>
        </w:rPr>
        <w:t>SOUHRNNÁ TECHNICKÁ ZPRÁVA</w:t>
      </w:r>
      <w:bookmarkEnd w:id="0"/>
    </w:p>
    <w:p w14:paraId="3D3D4FE9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s.p. </w:t>
      </w:r>
    </w:p>
    <w:p w14:paraId="742F663F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FA025C">
        <w:rPr>
          <w:b/>
          <w:sz w:val="44"/>
        </w:rPr>
        <w:t>LUHAČOVICE</w:t>
      </w:r>
    </w:p>
    <w:p w14:paraId="59727F76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6D264010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1890C662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05176264" w14:textId="645122EF" w:rsidR="00766015" w:rsidRDefault="001E40DE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1"/>
          </w:p>
        </w:tc>
      </w:tr>
      <w:tr w:rsidR="00766015" w14:paraId="319EE257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6F748651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6451CFD4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2A5E00C5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375DF3C8" w14:textId="77777777" w:rsidR="00766015" w:rsidRDefault="00766015" w:rsidP="008D4C9E"/>
        </w:tc>
      </w:tr>
      <w:tr w:rsidR="00766015" w14:paraId="653C903E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7350597C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C85D4AB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2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2"/>
            <w:r w:rsidR="009E35EA">
              <w:t xml:space="preserve"> </w:t>
            </w:r>
          </w:p>
        </w:tc>
      </w:tr>
      <w:tr w:rsidR="00766015" w14:paraId="7F88BCC4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5F76788F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5EFBDE37" w14:textId="03BA9712" w:rsidR="00766015" w:rsidRDefault="001E40DE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3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3"/>
          </w:p>
        </w:tc>
      </w:tr>
      <w:tr w:rsidR="00766015" w14:paraId="460E9DDD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BBEB4C6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1E29D64A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4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4"/>
          </w:p>
        </w:tc>
      </w:tr>
    </w:tbl>
    <w:p w14:paraId="39CAFDFA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3B7E3FBB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755FAF97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72E018B5" w14:textId="77777777" w:rsidR="00AA28F0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AA28F0">
        <w:rPr>
          <w:noProof/>
        </w:rPr>
        <w:t>SOUHRNNÁ TECHNICKÁ ZPRÁVA</w:t>
      </w:r>
      <w:r w:rsidR="00AA28F0">
        <w:rPr>
          <w:noProof/>
        </w:rPr>
        <w:tab/>
      </w:r>
      <w:r w:rsidR="00AA28F0">
        <w:rPr>
          <w:noProof/>
        </w:rPr>
        <w:fldChar w:fldCharType="begin"/>
      </w:r>
      <w:r w:rsidR="00AA28F0">
        <w:rPr>
          <w:noProof/>
        </w:rPr>
        <w:instrText xml:space="preserve"> PAGEREF _Toc502913369 \h </w:instrText>
      </w:r>
      <w:r w:rsidR="00AA28F0">
        <w:rPr>
          <w:noProof/>
        </w:rPr>
      </w:r>
      <w:r w:rsidR="00AA28F0">
        <w:rPr>
          <w:noProof/>
        </w:rPr>
        <w:fldChar w:fldCharType="separate"/>
      </w:r>
      <w:r w:rsidR="00AA28F0">
        <w:rPr>
          <w:noProof/>
        </w:rPr>
        <w:t>1</w:t>
      </w:r>
      <w:r w:rsidR="00AA28F0">
        <w:rPr>
          <w:noProof/>
        </w:rPr>
        <w:fldChar w:fldCharType="end"/>
      </w:r>
    </w:p>
    <w:p w14:paraId="1A20C47A" w14:textId="77777777" w:rsidR="00AA28F0" w:rsidRDefault="00AA28F0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_Toc502913370 \h </w:instrText>
      </w:r>
      <w:r>
        <w:fldChar w:fldCharType="separate"/>
      </w:r>
      <w:r>
        <w:t>4</w:t>
      </w:r>
      <w:r>
        <w:fldChar w:fldCharType="end"/>
      </w:r>
    </w:p>
    <w:p w14:paraId="761E455F" w14:textId="77777777" w:rsidR="00AA28F0" w:rsidRDefault="00AA28F0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_Toc502913371 \h </w:instrText>
      </w:r>
      <w:r>
        <w:fldChar w:fldCharType="separate"/>
      </w:r>
      <w:r>
        <w:t>5</w:t>
      </w:r>
      <w:r>
        <w:fldChar w:fldCharType="end"/>
      </w:r>
    </w:p>
    <w:p w14:paraId="0258518A" w14:textId="77777777" w:rsidR="00AA28F0" w:rsidRDefault="00AA28F0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_Toc502913372 \h </w:instrText>
      </w:r>
      <w:r>
        <w:fldChar w:fldCharType="separate"/>
      </w:r>
      <w:r>
        <w:t>8</w:t>
      </w:r>
      <w:r>
        <w:fldChar w:fldCharType="end"/>
      </w:r>
    </w:p>
    <w:p w14:paraId="113CD0B6" w14:textId="77777777" w:rsidR="00AA28F0" w:rsidRDefault="00AA28F0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_Toc502913373 \h </w:instrText>
      </w:r>
      <w:r>
        <w:fldChar w:fldCharType="separate"/>
      </w:r>
      <w:r>
        <w:t>8</w:t>
      </w:r>
      <w:r>
        <w:fldChar w:fldCharType="end"/>
      </w:r>
    </w:p>
    <w:p w14:paraId="651F84B9" w14:textId="77777777" w:rsidR="00AA28F0" w:rsidRDefault="00AA28F0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_Toc502913374 \h </w:instrText>
      </w:r>
      <w:r>
        <w:fldChar w:fldCharType="separate"/>
      </w:r>
      <w:r>
        <w:t>8</w:t>
      </w:r>
      <w:r>
        <w:fldChar w:fldCharType="end"/>
      </w:r>
    </w:p>
    <w:p w14:paraId="05339D4E" w14:textId="77777777" w:rsidR="00AA28F0" w:rsidRDefault="00AA28F0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_Toc502913375 \h </w:instrText>
      </w:r>
      <w:r>
        <w:fldChar w:fldCharType="separate"/>
      </w:r>
      <w:r>
        <w:t>9</w:t>
      </w:r>
      <w:r>
        <w:fldChar w:fldCharType="end"/>
      </w:r>
    </w:p>
    <w:p w14:paraId="282662A0" w14:textId="77777777" w:rsidR="00AA28F0" w:rsidRDefault="00AA28F0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_Toc502913376 \h </w:instrText>
      </w:r>
      <w:r>
        <w:fldChar w:fldCharType="separate"/>
      </w:r>
      <w:r>
        <w:t>10</w:t>
      </w:r>
      <w:r>
        <w:fldChar w:fldCharType="end"/>
      </w:r>
    </w:p>
    <w:p w14:paraId="63A24AD2" w14:textId="77777777" w:rsidR="00AA28F0" w:rsidRDefault="00AA28F0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_Toc502913377 \h </w:instrText>
      </w:r>
      <w:r>
        <w:fldChar w:fldCharType="separate"/>
      </w:r>
      <w:r>
        <w:t>10</w:t>
      </w:r>
      <w:r>
        <w:fldChar w:fldCharType="end"/>
      </w:r>
    </w:p>
    <w:p w14:paraId="641D4B0E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52D54016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5" w:name="_Toc431976332"/>
      <w:bookmarkStart w:id="6" w:name="_Toc440894808"/>
      <w:bookmarkStart w:id="7" w:name="_Toc448153992"/>
      <w:bookmarkStart w:id="8" w:name="_Toc355001688"/>
      <w:bookmarkStart w:id="9" w:name="_Toc431913715"/>
      <w:bookmarkStart w:id="10" w:name="_Toc394932572"/>
    </w:p>
    <w:bookmarkEnd w:id="5"/>
    <w:bookmarkEnd w:id="6"/>
    <w:bookmarkEnd w:id="7"/>
    <w:p w14:paraId="5A086A53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FA025C" w:rsidRPr="002B0419" w14:paraId="58576CED" w14:textId="77777777" w:rsidTr="001E3B05">
        <w:tc>
          <w:tcPr>
            <w:tcW w:w="2943" w:type="dxa"/>
            <w:shd w:val="clear" w:color="auto" w:fill="auto"/>
          </w:tcPr>
          <w:p w14:paraId="0FE3E64B" w14:textId="77777777" w:rsidR="00FA025C" w:rsidRPr="002B0419" w:rsidRDefault="00FA025C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3506938E" w14:textId="77777777" w:rsidR="00FA025C" w:rsidRPr="002B0419" w:rsidRDefault="00FA025C" w:rsidP="00B518E4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VD LUHAČOVICE</w:t>
            </w:r>
          </w:p>
        </w:tc>
      </w:tr>
      <w:tr w:rsidR="00FA025C" w:rsidRPr="002B0419" w14:paraId="45E81350" w14:textId="77777777" w:rsidTr="003D22C9">
        <w:tc>
          <w:tcPr>
            <w:tcW w:w="2943" w:type="dxa"/>
            <w:shd w:val="clear" w:color="auto" w:fill="auto"/>
          </w:tcPr>
          <w:p w14:paraId="2CFA9EBC" w14:textId="77777777" w:rsidR="00FA025C" w:rsidRPr="002B0419" w:rsidRDefault="00FA025C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25A85596" w14:textId="77777777" w:rsidR="00FA025C" w:rsidRPr="001E3B05" w:rsidRDefault="00FA025C" w:rsidP="00B518E4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Luhačovice</w:t>
            </w:r>
            <w:r w:rsidRPr="001E3B05">
              <w:rPr>
                <w:rFonts w:ascii="Arial Narrow" w:hAnsi="Arial Narrow" w:cs="Times New Roman"/>
              </w:rPr>
              <w:t xml:space="preserve"> na </w:t>
            </w:r>
            <w:r>
              <w:rPr>
                <w:rFonts w:ascii="Arial Narrow" w:hAnsi="Arial Narrow" w:cs="Times New Roman"/>
              </w:rPr>
              <w:t>Luhačovickém potoce</w:t>
            </w:r>
          </w:p>
        </w:tc>
      </w:tr>
      <w:tr w:rsidR="00FA025C" w:rsidRPr="002B0419" w14:paraId="35197248" w14:textId="77777777" w:rsidTr="003D22C9">
        <w:tc>
          <w:tcPr>
            <w:tcW w:w="2943" w:type="dxa"/>
            <w:shd w:val="clear" w:color="auto" w:fill="auto"/>
          </w:tcPr>
          <w:p w14:paraId="7339CA43" w14:textId="77777777" w:rsidR="00FA025C" w:rsidRPr="002B0419" w:rsidRDefault="00FA025C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0B116341" w14:textId="77777777" w:rsidR="00FA025C" w:rsidRPr="002B0419" w:rsidRDefault="00FA025C" w:rsidP="00B518E4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FA025C" w:rsidRPr="002B0419" w14:paraId="4AD9F7A6" w14:textId="77777777" w:rsidTr="003D22C9">
        <w:tc>
          <w:tcPr>
            <w:tcW w:w="2943" w:type="dxa"/>
            <w:shd w:val="clear" w:color="auto" w:fill="auto"/>
          </w:tcPr>
          <w:p w14:paraId="2C41FA71" w14:textId="77777777" w:rsidR="00FA025C" w:rsidRPr="002B0419" w:rsidRDefault="00FA025C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7A31830F" w14:textId="77777777" w:rsidR="00FA025C" w:rsidRDefault="00FA025C" w:rsidP="00B518E4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893, 1419/1,2237/12,2237/8,2237/11,3519,  </w:t>
            </w:r>
          </w:p>
          <w:p w14:paraId="587DD7A0" w14:textId="77777777" w:rsidR="00FA025C" w:rsidRDefault="00FA025C" w:rsidP="00B518E4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1436/1,1545/1,1454/3, 216/3, 2315,216/6,1545/3 k.ú. Pozlovice</w:t>
            </w:r>
          </w:p>
          <w:p w14:paraId="6EC5F4A8" w14:textId="77777777" w:rsidR="00FA025C" w:rsidRDefault="00FA025C" w:rsidP="00B518E4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3373, k.ú. Dolní Lhota u Luhačovic</w:t>
            </w:r>
          </w:p>
          <w:p w14:paraId="3B47C193" w14:textId="77777777" w:rsidR="00FA025C" w:rsidRPr="002B0419" w:rsidRDefault="00FA025C" w:rsidP="00B518E4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7182/56, k.ú. Uherský Brod</w:t>
            </w:r>
          </w:p>
        </w:tc>
      </w:tr>
      <w:tr w:rsidR="003D22C9" w:rsidRPr="002B0419" w14:paraId="6DEE10F7" w14:textId="77777777" w:rsidTr="003D22C9">
        <w:tc>
          <w:tcPr>
            <w:tcW w:w="2943" w:type="dxa"/>
            <w:shd w:val="clear" w:color="auto" w:fill="auto"/>
          </w:tcPr>
          <w:p w14:paraId="26FE6D9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09BE8B2E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48C60E94" w14:textId="77777777" w:rsidTr="003D22C9">
        <w:tc>
          <w:tcPr>
            <w:tcW w:w="2943" w:type="dxa"/>
            <w:shd w:val="clear" w:color="auto" w:fill="auto"/>
          </w:tcPr>
          <w:p w14:paraId="610DC8D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68DEDCB6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45C0D67B" w14:textId="77777777" w:rsidTr="003D22C9">
        <w:tc>
          <w:tcPr>
            <w:tcW w:w="2943" w:type="dxa"/>
            <w:shd w:val="clear" w:color="auto" w:fill="auto"/>
          </w:tcPr>
          <w:p w14:paraId="712A232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78934B68" w14:textId="415D9EA1" w:rsidR="003D22C9" w:rsidRPr="002B0419" w:rsidRDefault="001E40DE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</w:t>
            </w:r>
            <w:r>
              <w:rPr>
                <w:rFonts w:ascii="Arial Narrow" w:hAnsi="Arial Narrow" w:cs="Times New Roman"/>
              </w:rPr>
              <w:t>024</w:t>
            </w:r>
          </w:p>
        </w:tc>
      </w:tr>
      <w:tr w:rsidR="003D22C9" w:rsidRPr="002B0419" w14:paraId="6546F277" w14:textId="77777777" w:rsidTr="003D22C9">
        <w:tc>
          <w:tcPr>
            <w:tcW w:w="2943" w:type="dxa"/>
            <w:shd w:val="clear" w:color="auto" w:fill="auto"/>
          </w:tcPr>
          <w:p w14:paraId="11F116B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6900F86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6DD0B803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1" w:name="_Toc441153055"/>
      <w:bookmarkStart w:id="12" w:name="_Toc448153993"/>
      <w:bookmarkStart w:id="13" w:name="_Toc484424095"/>
      <w:bookmarkStart w:id="14" w:name="_Toc431976334"/>
      <w:bookmarkStart w:id="15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1"/>
      <w:bookmarkEnd w:id="12"/>
      <w:bookmarkEnd w:id="13"/>
    </w:p>
    <w:p w14:paraId="7B3043CC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303C418D" w14:textId="77777777" w:rsidTr="003D22C9">
        <w:tc>
          <w:tcPr>
            <w:tcW w:w="2943" w:type="dxa"/>
            <w:shd w:val="clear" w:color="auto" w:fill="auto"/>
          </w:tcPr>
          <w:p w14:paraId="05A5DAE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46CC8CA4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0D9A5D67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12AB8D2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5A51C25D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4A71538D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75FDF64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2ADF0FE3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60242848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789F2B2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0D4661D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662A2E51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6" w:name="_Toc448153994"/>
      <w:bookmarkStart w:id="17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4"/>
      <w:bookmarkEnd w:id="15"/>
      <w:bookmarkEnd w:id="16"/>
      <w:bookmarkEnd w:id="17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7B3FC34C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8" w:name="_Toc48103289"/>
      <w:bookmarkStart w:id="19" w:name="_Toc191811563"/>
      <w:bookmarkStart w:id="20" w:name="_Toc250701967"/>
      <w:bookmarkStart w:id="21" w:name="_Toc258785929"/>
      <w:bookmarkStart w:id="22" w:name="_Toc351112848"/>
      <w:bookmarkStart w:id="23" w:name="_Toc431976335"/>
      <w:bookmarkStart w:id="24" w:name="_Toc440894811"/>
      <w:bookmarkStart w:id="25" w:name="_Toc448153995"/>
      <w:bookmarkStart w:id="26" w:name="_Toc480413991"/>
      <w:bookmarkStart w:id="27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8"/>
      <w:bookmarkEnd w:id="19"/>
      <w:bookmarkEnd w:id="20"/>
      <w:bookmarkEnd w:id="21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2"/>
      <w:bookmarkEnd w:id="23"/>
      <w:bookmarkEnd w:id="24"/>
      <w:bookmarkEnd w:id="25"/>
      <w:bookmarkEnd w:id="26"/>
      <w:bookmarkEnd w:id="27"/>
    </w:p>
    <w:p w14:paraId="58342DB3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556A0E2D" w14:textId="77777777" w:rsidTr="003D22C9">
        <w:tc>
          <w:tcPr>
            <w:tcW w:w="2943" w:type="dxa"/>
            <w:shd w:val="clear" w:color="auto" w:fill="auto"/>
          </w:tcPr>
          <w:p w14:paraId="64CA05D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354FE752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63966B87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60AEC8E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2C5F6AF1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3239C50B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1CA7FAE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73522A9D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6561B07A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6D49022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24E44CC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121F19F1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6FBC17C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DE916DF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65EECB25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E32FD7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53323BD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14F44135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8" w:name="_Toc431976336"/>
      <w:bookmarkStart w:id="29" w:name="_Toc440894812"/>
      <w:bookmarkStart w:id="30" w:name="_Toc448153996"/>
      <w:bookmarkStart w:id="31" w:name="_Toc480413992"/>
      <w:bookmarkStart w:id="32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8"/>
      <w:bookmarkEnd w:id="29"/>
      <w:bookmarkEnd w:id="30"/>
      <w:bookmarkEnd w:id="31"/>
      <w:bookmarkEnd w:id="32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3BB31F5A" w14:textId="77777777" w:rsidTr="003D22C9">
        <w:tc>
          <w:tcPr>
            <w:tcW w:w="2943" w:type="dxa"/>
            <w:shd w:val="clear" w:color="auto" w:fill="auto"/>
          </w:tcPr>
          <w:p w14:paraId="79763DE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4831DB3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67231F19" w14:textId="77777777" w:rsidTr="003D22C9">
        <w:tc>
          <w:tcPr>
            <w:tcW w:w="2943" w:type="dxa"/>
            <w:shd w:val="clear" w:color="auto" w:fill="auto"/>
          </w:tcPr>
          <w:p w14:paraId="61C681C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176DB77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3875DB7F" w14:textId="77777777" w:rsidTr="003D22C9">
        <w:tc>
          <w:tcPr>
            <w:tcW w:w="2943" w:type="dxa"/>
            <w:shd w:val="clear" w:color="auto" w:fill="auto"/>
          </w:tcPr>
          <w:p w14:paraId="496CF30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73B3169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385BC790" w14:textId="77777777" w:rsidTr="003D22C9">
        <w:tc>
          <w:tcPr>
            <w:tcW w:w="2943" w:type="dxa"/>
            <w:shd w:val="clear" w:color="auto" w:fill="auto"/>
          </w:tcPr>
          <w:p w14:paraId="1C7265B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6BB5CBE4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8"/>
      <w:bookmarkEnd w:id="9"/>
    </w:tbl>
    <w:p w14:paraId="3403C225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0F3BCF53" w14:textId="77777777" w:rsidR="00FC61D3" w:rsidRPr="00147A61" w:rsidRDefault="009E53C2" w:rsidP="00FC61D3">
      <w:pPr>
        <w:pStyle w:val="N1"/>
      </w:pPr>
      <w:bookmarkStart w:id="33" w:name="_Toc502913370"/>
      <w:r>
        <w:lastRenderedPageBreak/>
        <w:t>pOPIS ÚZEMÍ STAVBY</w:t>
      </w:r>
      <w:bookmarkEnd w:id="33"/>
    </w:p>
    <w:p w14:paraId="048D5A61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3DD0E9B2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Práce budou probíhat především na vlastní hrázi vodního díla, ve </w:t>
      </w:r>
      <w:r w:rsidR="001162E5">
        <w:rPr>
          <w:rFonts w:asciiTheme="minorHAnsi" w:hAnsiTheme="minorHAnsi"/>
          <w:sz w:val="24"/>
          <w:szCs w:val="24"/>
        </w:rPr>
        <w:t>věžovém objektu</w:t>
      </w:r>
      <w:r w:rsidR="00EC6D63">
        <w:rPr>
          <w:rFonts w:asciiTheme="minorHAnsi" w:hAnsiTheme="minorHAnsi"/>
          <w:sz w:val="24"/>
          <w:szCs w:val="24"/>
        </w:rPr>
        <w:t xml:space="preserve">,  </w:t>
      </w:r>
      <w:r>
        <w:rPr>
          <w:rFonts w:asciiTheme="minorHAnsi" w:hAnsiTheme="minorHAnsi"/>
          <w:sz w:val="24"/>
          <w:szCs w:val="24"/>
        </w:rPr>
        <w:t xml:space="preserve">v areálu domku hrázného a v limnigrafické stanici na </w:t>
      </w:r>
      <w:r w:rsidR="00FA025C">
        <w:rPr>
          <w:rFonts w:asciiTheme="minorHAnsi" w:hAnsiTheme="minorHAnsi"/>
          <w:sz w:val="24"/>
          <w:szCs w:val="24"/>
        </w:rPr>
        <w:t xml:space="preserve">přítoku a </w:t>
      </w:r>
      <w:r>
        <w:rPr>
          <w:rFonts w:asciiTheme="minorHAnsi" w:hAnsiTheme="minorHAnsi"/>
          <w:sz w:val="24"/>
          <w:szCs w:val="24"/>
        </w:rPr>
        <w:t>odtoku</w:t>
      </w:r>
      <w:r w:rsidR="00485B62">
        <w:rPr>
          <w:rFonts w:asciiTheme="minorHAnsi" w:hAnsiTheme="minorHAnsi"/>
          <w:sz w:val="24"/>
          <w:szCs w:val="24"/>
        </w:rPr>
        <w:t xml:space="preserve"> a na LMG Uherský Brod</w:t>
      </w:r>
      <w:r w:rsidR="001162E5">
        <w:rPr>
          <w:rFonts w:asciiTheme="minorHAnsi" w:hAnsiTheme="minorHAnsi"/>
          <w:sz w:val="24"/>
          <w:szCs w:val="24"/>
        </w:rPr>
        <w:t xml:space="preserve">. </w:t>
      </w:r>
      <w:r w:rsidR="00EC6D63">
        <w:rPr>
          <w:rFonts w:asciiTheme="minorHAnsi" w:hAnsiTheme="minorHAnsi"/>
          <w:sz w:val="24"/>
          <w:szCs w:val="24"/>
        </w:rPr>
        <w:t xml:space="preserve"> </w:t>
      </w:r>
    </w:p>
    <w:p w14:paraId="12A21CD2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0385EE1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3D9CDF97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Inženýrsko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463A7574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4BB8B590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081A27AA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E7049C5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64CB006D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5ADC4B29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03C3D82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3210875C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3F2593D0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FA45FAA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7FF6D312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3B0C6355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54B8F37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EC21AEE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78FF029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asanace, demolice, kácení dřevin</w:t>
      </w:r>
    </w:p>
    <w:p w14:paraId="07FD0441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lastRenderedPageBreak/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1098DD4D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36E827A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5190624D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2B1817F7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65C1919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263BC108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5D69076D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214ED14B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67BFE4EA" w14:textId="77777777" w:rsidR="000D56EE" w:rsidRPr="000D56EE" w:rsidRDefault="00937ACE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práce v limnigrafické stanici na odtoku budou odsouhlaseny vlastníkem objektu ČHMÚ. </w:t>
      </w:r>
    </w:p>
    <w:p w14:paraId="47BDC777" w14:textId="77777777" w:rsidR="00FC61D3" w:rsidRDefault="009E53C2" w:rsidP="00FC61D3">
      <w:pPr>
        <w:pStyle w:val="N1"/>
      </w:pPr>
      <w:bookmarkStart w:id="34" w:name="_Toc502913371"/>
      <w:r>
        <w:t>Celkový popis stavby</w:t>
      </w:r>
      <w:bookmarkEnd w:id="34"/>
    </w:p>
    <w:p w14:paraId="5699EDA1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6A3E2BAD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r w:rsidR="00FA025C">
        <w:rPr>
          <w:rFonts w:asciiTheme="minorHAnsi" w:hAnsiTheme="minorHAnsi"/>
          <w:sz w:val="24"/>
          <w:szCs w:val="24"/>
        </w:rPr>
        <w:t>Luhačovice</w:t>
      </w:r>
      <w:r w:rsidR="00937ACE">
        <w:rPr>
          <w:rFonts w:asciiTheme="minorHAnsi" w:hAnsiTheme="minorHAnsi"/>
          <w:sz w:val="24"/>
          <w:szCs w:val="24"/>
        </w:rPr>
        <w:t xml:space="preserve">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6E1E8527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>. Tato modernizace zahrnuje především výměnu zařízení měřících hladinu v </w:t>
      </w:r>
      <w:r w:rsidR="001162E5">
        <w:rPr>
          <w:rFonts w:asciiTheme="minorHAnsi" w:hAnsiTheme="minorHAnsi"/>
          <w:sz w:val="24"/>
          <w:szCs w:val="24"/>
        </w:rPr>
        <w:t xml:space="preserve">nádrži, teplotu vody a vzduchu </w:t>
      </w:r>
      <w:r>
        <w:rPr>
          <w:rFonts w:asciiTheme="minorHAnsi" w:hAnsiTheme="minorHAnsi"/>
          <w:sz w:val="24"/>
          <w:szCs w:val="24"/>
        </w:rPr>
        <w:t>a modernizace měření v</w:t>
      </w:r>
      <w:r w:rsidR="00FA025C">
        <w:rPr>
          <w:rFonts w:asciiTheme="minorHAnsi" w:hAnsiTheme="minorHAnsi"/>
          <w:sz w:val="24"/>
          <w:szCs w:val="24"/>
        </w:rPr>
        <w:t xml:space="preserve"> přítokovém a </w:t>
      </w:r>
      <w:r>
        <w:rPr>
          <w:rFonts w:asciiTheme="minorHAnsi" w:hAnsiTheme="minorHAnsi"/>
          <w:sz w:val="24"/>
          <w:szCs w:val="24"/>
        </w:rPr>
        <w:t>odtokovém limnigraf</w:t>
      </w:r>
      <w:r w:rsidR="00EC6D63">
        <w:rPr>
          <w:rFonts w:asciiTheme="minorHAnsi" w:hAnsiTheme="minorHAnsi"/>
          <w:sz w:val="24"/>
          <w:szCs w:val="24"/>
        </w:rPr>
        <w:t>u</w:t>
      </w:r>
      <w:r w:rsidR="001162E5">
        <w:rPr>
          <w:rFonts w:asciiTheme="minorHAnsi" w:hAnsiTheme="minorHAnsi"/>
          <w:sz w:val="24"/>
          <w:szCs w:val="24"/>
        </w:rPr>
        <w:t xml:space="preserve"> včetně napojení stanice na el.energii</w:t>
      </w:r>
      <w:r w:rsidR="00EC6D63">
        <w:rPr>
          <w:rFonts w:asciiTheme="minorHAnsi" w:hAnsiTheme="minorHAnsi"/>
          <w:sz w:val="24"/>
          <w:szCs w:val="24"/>
        </w:rPr>
        <w:t xml:space="preserve">. Dále bude nově zrealizováno </w:t>
      </w:r>
      <w:r w:rsidR="00A633CB">
        <w:rPr>
          <w:rFonts w:asciiTheme="minorHAnsi" w:hAnsiTheme="minorHAnsi"/>
          <w:sz w:val="24"/>
          <w:szCs w:val="24"/>
        </w:rPr>
        <w:t>jedno</w:t>
      </w:r>
      <w:r w:rsidR="00EC6D6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měření TBD veličin</w:t>
      </w:r>
      <w:r w:rsidR="001162E5">
        <w:rPr>
          <w:rFonts w:asciiTheme="minorHAnsi" w:hAnsiTheme="minorHAnsi"/>
          <w:sz w:val="24"/>
          <w:szCs w:val="24"/>
        </w:rPr>
        <w:t xml:space="preserve"> a integrace stávajících měření</w:t>
      </w:r>
      <w:r>
        <w:rPr>
          <w:rFonts w:asciiTheme="minorHAnsi" w:hAnsiTheme="minorHAnsi"/>
          <w:sz w:val="24"/>
          <w:szCs w:val="24"/>
        </w:rPr>
        <w:t xml:space="preserve">. </w:t>
      </w:r>
      <w:r w:rsidR="00783CE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Tato data budou koncentrována</w:t>
      </w:r>
      <w:r w:rsidR="00EC6D63">
        <w:rPr>
          <w:rFonts w:asciiTheme="minorHAnsi" w:hAnsiTheme="minorHAnsi"/>
          <w:sz w:val="24"/>
          <w:szCs w:val="24"/>
        </w:rPr>
        <w:t xml:space="preserve"> a následně nasměrována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hrázného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>vodohospodářský dispečink v Brně. V rámci stavby budou nahrazeny některé části kabelového vedení</w:t>
      </w:r>
      <w:r w:rsidR="00EC6D63">
        <w:rPr>
          <w:rFonts w:asciiTheme="minorHAnsi" w:hAnsiTheme="minorHAnsi"/>
          <w:sz w:val="24"/>
          <w:szCs w:val="24"/>
        </w:rPr>
        <w:t xml:space="preserve"> nebo bude položeno zcela nové vedení</w:t>
      </w:r>
      <w:r>
        <w:rPr>
          <w:rFonts w:asciiTheme="minorHAnsi" w:hAnsiTheme="minorHAnsi"/>
          <w:sz w:val="24"/>
          <w:szCs w:val="24"/>
        </w:rPr>
        <w:t xml:space="preserve">. </w:t>
      </w:r>
      <w:r w:rsidR="00D812A4">
        <w:rPr>
          <w:rFonts w:asciiTheme="minorHAnsi" w:hAnsiTheme="minorHAnsi"/>
          <w:sz w:val="24"/>
          <w:szCs w:val="24"/>
        </w:rPr>
        <w:t>V rámci projektu dojde i k </w:t>
      </w:r>
      <w:r>
        <w:rPr>
          <w:rFonts w:asciiTheme="minorHAnsi" w:hAnsiTheme="minorHAnsi"/>
          <w:sz w:val="24"/>
          <w:szCs w:val="24"/>
        </w:rPr>
        <w:t>výměně technologie v kanceláři</w:t>
      </w:r>
      <w:r w:rsidR="00D812A4">
        <w:rPr>
          <w:rFonts w:asciiTheme="minorHAnsi" w:hAnsiTheme="minorHAnsi"/>
          <w:sz w:val="24"/>
          <w:szCs w:val="24"/>
        </w:rPr>
        <w:t xml:space="preserve"> hrázného v souvislosti s modernizací celkového měření. </w:t>
      </w:r>
    </w:p>
    <w:p w14:paraId="23E72C4B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769B0E49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35800CF1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0C7D4E4C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3E317DCB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0BB3B9D4" w14:textId="77777777" w:rsidR="001162E5" w:rsidRDefault="001162E5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</w:p>
    <w:p w14:paraId="08ECAEC5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B.2.4. Bezbariérové užívání stavby</w:t>
      </w:r>
    </w:p>
    <w:p w14:paraId="7AF96A3E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4D6DD2F2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B.2.5. Bezpečnost při užívání stavby</w:t>
      </w:r>
    </w:p>
    <w:p w14:paraId="094262A9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Bezpečnost užívání stavby se vlivem projektu nemění.</w:t>
      </w:r>
    </w:p>
    <w:p w14:paraId="52CFB194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B.2.6. Základní technický popis staveb</w:t>
      </w:r>
    </w:p>
    <w:p w14:paraId="04DC5FD9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</w:t>
      </w:r>
      <w:r w:rsidR="00A633CB">
        <w:rPr>
          <w:rFonts w:asciiTheme="minorHAnsi" w:hAnsiTheme="minorHAnsi"/>
          <w:sz w:val="24"/>
          <w:szCs w:val="24"/>
        </w:rPr>
        <w:t>Luhačovice</w:t>
      </w:r>
      <w:r>
        <w:rPr>
          <w:rFonts w:asciiTheme="minorHAnsi" w:hAnsiTheme="minorHAnsi"/>
          <w:sz w:val="24"/>
          <w:szCs w:val="24"/>
        </w:rPr>
        <w:t xml:space="preserve"> se nachází na vodním toku </w:t>
      </w:r>
      <w:r w:rsidR="00A633CB">
        <w:rPr>
          <w:rFonts w:asciiTheme="minorHAnsi" w:hAnsiTheme="minorHAnsi"/>
          <w:sz w:val="24"/>
          <w:szCs w:val="24"/>
        </w:rPr>
        <w:t>Luhačovický potok</w:t>
      </w:r>
      <w:r w:rsidR="001162E5">
        <w:rPr>
          <w:rFonts w:asciiTheme="minorHAnsi" w:hAnsiTheme="minorHAnsi"/>
          <w:sz w:val="24"/>
          <w:szCs w:val="24"/>
        </w:rPr>
        <w:t xml:space="preserve">. </w:t>
      </w:r>
    </w:p>
    <w:p w14:paraId="1555BC96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 xml:space="preserve">Prostor stálého nadržení  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139"/>
      </w:tblGrid>
      <w:tr w:rsidR="001162E5" w:rsidRPr="000F125A" w14:paraId="095DEF98" w14:textId="77777777" w:rsidTr="00402B17">
        <w:tc>
          <w:tcPr>
            <w:tcW w:w="6237" w:type="dxa"/>
          </w:tcPr>
          <w:p w14:paraId="1530752D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dna nádrže </w:t>
            </w:r>
          </w:p>
        </w:tc>
        <w:tc>
          <w:tcPr>
            <w:tcW w:w="2139" w:type="dxa"/>
          </w:tcPr>
          <w:p w14:paraId="7F0BF90A" w14:textId="77777777" w:rsidR="001162E5" w:rsidRPr="001162E5" w:rsidRDefault="00A633CB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269,00</w:t>
            </w:r>
            <w:r w:rsidR="001162E5" w:rsidRPr="001162E5">
              <w:rPr>
                <w:rFonts w:asciiTheme="minorHAnsi" w:hAnsiTheme="minorHAnsi"/>
                <w:szCs w:val="24"/>
              </w:rPr>
              <w:t xml:space="preserve"> m n.</w:t>
            </w:r>
            <w:r w:rsidR="001162E5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4814AF7A" w14:textId="77777777" w:rsidTr="00402B17">
        <w:tc>
          <w:tcPr>
            <w:tcW w:w="6237" w:type="dxa"/>
          </w:tcPr>
          <w:p w14:paraId="73BD508A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>Kóta hladiny stálého nadržení Hs</w:t>
            </w:r>
          </w:p>
        </w:tc>
        <w:tc>
          <w:tcPr>
            <w:tcW w:w="2139" w:type="dxa"/>
          </w:tcPr>
          <w:p w14:paraId="40C7B26C" w14:textId="77777777" w:rsidR="001162E5" w:rsidRPr="001162E5" w:rsidRDefault="00A633CB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275,00</w:t>
            </w:r>
            <w:r w:rsidR="001162E5" w:rsidRPr="001162E5">
              <w:rPr>
                <w:rFonts w:asciiTheme="minorHAnsi" w:hAnsiTheme="minorHAnsi"/>
                <w:szCs w:val="24"/>
              </w:rPr>
              <w:t xml:space="preserve"> m n.</w:t>
            </w:r>
            <w:r w:rsidR="001162E5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48D5893D" w14:textId="77777777" w:rsidTr="00402B17">
        <w:tc>
          <w:tcPr>
            <w:tcW w:w="6237" w:type="dxa"/>
          </w:tcPr>
          <w:p w14:paraId="5C9CB7C8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prostoru stálého nadržení </w:t>
            </w:r>
          </w:p>
        </w:tc>
        <w:tc>
          <w:tcPr>
            <w:tcW w:w="2139" w:type="dxa"/>
          </w:tcPr>
          <w:p w14:paraId="0343530B" w14:textId="77777777" w:rsidR="001162E5" w:rsidRPr="001162E5" w:rsidRDefault="00A633CB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A633CB">
              <w:rPr>
                <w:rFonts w:asciiTheme="minorHAnsi" w:hAnsiTheme="minorHAnsi"/>
                <w:szCs w:val="24"/>
              </w:rPr>
              <w:t>257</w:t>
            </w:r>
            <w:r>
              <w:rPr>
                <w:rFonts w:asciiTheme="minorHAnsi" w:hAnsiTheme="minorHAnsi"/>
                <w:szCs w:val="24"/>
              </w:rPr>
              <w:t> </w:t>
            </w:r>
            <w:r w:rsidRPr="00A633CB">
              <w:rPr>
                <w:rFonts w:asciiTheme="minorHAnsi" w:hAnsiTheme="minorHAnsi"/>
                <w:szCs w:val="24"/>
              </w:rPr>
              <w:t>126</w:t>
            </w:r>
            <w:r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m3</w:t>
            </w:r>
          </w:p>
        </w:tc>
      </w:tr>
    </w:tbl>
    <w:p w14:paraId="42FEC480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42C53D17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zásobní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1162E5" w:rsidRPr="000F125A" w14:paraId="2BDB8354" w14:textId="77777777" w:rsidTr="00402B17">
        <w:tc>
          <w:tcPr>
            <w:tcW w:w="6310" w:type="dxa"/>
          </w:tcPr>
          <w:p w14:paraId="23C565FC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min. hladiny zásobního prostoru </w:t>
            </w:r>
          </w:p>
        </w:tc>
        <w:tc>
          <w:tcPr>
            <w:tcW w:w="2066" w:type="dxa"/>
          </w:tcPr>
          <w:p w14:paraId="66E64B16" w14:textId="77777777" w:rsidR="001162E5" w:rsidRPr="001162E5" w:rsidRDefault="00A633CB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275,00</w:t>
            </w:r>
            <w:r w:rsidR="001162E5" w:rsidRPr="001162E5">
              <w:rPr>
                <w:rFonts w:asciiTheme="minorHAnsi" w:hAnsiTheme="minorHAnsi"/>
                <w:szCs w:val="24"/>
              </w:rPr>
              <w:t xml:space="preserve"> 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6E1F1E49" w14:textId="77777777" w:rsidTr="00402B17">
        <w:tc>
          <w:tcPr>
            <w:tcW w:w="6310" w:type="dxa"/>
          </w:tcPr>
          <w:p w14:paraId="1F49FC6B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max. hladiny zásobního prostoru Hz </w:t>
            </w:r>
          </w:p>
        </w:tc>
        <w:tc>
          <w:tcPr>
            <w:tcW w:w="2066" w:type="dxa"/>
          </w:tcPr>
          <w:p w14:paraId="7465529C" w14:textId="77777777" w:rsidR="001162E5" w:rsidRPr="001162E5" w:rsidRDefault="00A633CB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279,75</w:t>
            </w:r>
            <w:r w:rsidR="001162E5" w:rsidRPr="001162E5">
              <w:rPr>
                <w:rFonts w:asciiTheme="minorHAnsi" w:hAnsiTheme="minorHAnsi"/>
                <w:szCs w:val="24"/>
              </w:rPr>
              <w:t xml:space="preserve"> 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711CB9AB" w14:textId="77777777" w:rsidTr="00402B17">
        <w:tc>
          <w:tcPr>
            <w:tcW w:w="6310" w:type="dxa"/>
          </w:tcPr>
          <w:p w14:paraId="3AD9BAD9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zásobního prostoru </w:t>
            </w:r>
          </w:p>
        </w:tc>
        <w:tc>
          <w:tcPr>
            <w:tcW w:w="2066" w:type="dxa"/>
          </w:tcPr>
          <w:p w14:paraId="4DE1F910" w14:textId="77777777" w:rsidR="001162E5" w:rsidRPr="001162E5" w:rsidRDefault="00A633CB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A633CB">
              <w:rPr>
                <w:rFonts w:asciiTheme="minorHAnsi" w:hAnsiTheme="minorHAnsi"/>
                <w:szCs w:val="24"/>
              </w:rPr>
              <w:t>882</w:t>
            </w:r>
            <w:r>
              <w:rPr>
                <w:rFonts w:asciiTheme="minorHAnsi" w:hAnsiTheme="minorHAnsi"/>
                <w:szCs w:val="24"/>
              </w:rPr>
              <w:t> </w:t>
            </w:r>
            <w:r w:rsidRPr="00A633CB">
              <w:rPr>
                <w:rFonts w:asciiTheme="minorHAnsi" w:hAnsiTheme="minorHAnsi"/>
                <w:szCs w:val="24"/>
              </w:rPr>
              <w:t>749</w:t>
            </w:r>
            <w:r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m3</w:t>
            </w:r>
          </w:p>
        </w:tc>
      </w:tr>
      <w:tr w:rsidR="000F125A" w:rsidRPr="000F125A" w14:paraId="0F801865" w14:textId="77777777" w:rsidTr="00402B17">
        <w:tc>
          <w:tcPr>
            <w:tcW w:w="6310" w:type="dxa"/>
          </w:tcPr>
          <w:p w14:paraId="760BD3AC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 xml:space="preserve">Zatopená plocha při  max. zásobní hladině </w:t>
            </w:r>
          </w:p>
        </w:tc>
        <w:tc>
          <w:tcPr>
            <w:tcW w:w="2066" w:type="dxa"/>
          </w:tcPr>
          <w:p w14:paraId="3EC465BF" w14:textId="77777777" w:rsidR="000F125A" w:rsidRPr="000F125A" w:rsidRDefault="00A633CB" w:rsidP="00402B17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257 000</w:t>
            </w:r>
            <w:r w:rsidR="00E26DB1" w:rsidRPr="00E26DB1">
              <w:rPr>
                <w:rFonts w:asciiTheme="minorHAnsi" w:hAnsiTheme="minorHAnsi" w:cs="Times New Roman"/>
              </w:rPr>
              <w:t xml:space="preserve"> m2</w:t>
            </w:r>
          </w:p>
        </w:tc>
      </w:tr>
    </w:tbl>
    <w:p w14:paraId="4034A386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3E72146F" w14:textId="77777777" w:rsidR="00A633CB" w:rsidRPr="000F125A" w:rsidRDefault="00A633CB" w:rsidP="00A633CB">
      <w:pPr>
        <w:pStyle w:val="Normlnodsazen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Prostor retenční </w:t>
      </w:r>
      <w:r w:rsidRPr="000F125A">
        <w:rPr>
          <w:rFonts w:asciiTheme="minorHAnsi" w:hAnsiTheme="minorHAnsi"/>
          <w:szCs w:val="24"/>
        </w:rPr>
        <w:t>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A633CB" w:rsidRPr="000F125A" w14:paraId="745F70F7" w14:textId="77777777" w:rsidTr="00B518E4">
        <w:tc>
          <w:tcPr>
            <w:tcW w:w="6310" w:type="dxa"/>
          </w:tcPr>
          <w:p w14:paraId="3986CE7A" w14:textId="77777777" w:rsidR="00A633CB" w:rsidRPr="00E26DB1" w:rsidRDefault="00A633CB" w:rsidP="00A633CB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Kóta min. hladiny </w:t>
            </w:r>
            <w:r w:rsidRPr="00E26DB1">
              <w:rPr>
                <w:rFonts w:asciiTheme="minorHAnsi" w:hAnsiTheme="minorHAnsi"/>
                <w:szCs w:val="24"/>
              </w:rPr>
              <w:t xml:space="preserve">ovladatelného retenčního prostoru </w:t>
            </w:r>
          </w:p>
        </w:tc>
        <w:tc>
          <w:tcPr>
            <w:tcW w:w="2066" w:type="dxa"/>
          </w:tcPr>
          <w:p w14:paraId="03ABE43B" w14:textId="77777777" w:rsidR="00A633CB" w:rsidRPr="00E26DB1" w:rsidRDefault="00A633CB" w:rsidP="00B518E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279,75</w:t>
            </w:r>
            <w:r w:rsidRPr="00E26DB1">
              <w:rPr>
                <w:rFonts w:asciiTheme="minorHAnsi" w:hAnsiTheme="minorHAnsi"/>
                <w:szCs w:val="24"/>
              </w:rPr>
              <w:t xml:space="preserve"> m n.</w:t>
            </w:r>
            <w:r>
              <w:rPr>
                <w:rFonts w:asciiTheme="minorHAnsi" w:hAnsiTheme="minorHAnsi"/>
                <w:szCs w:val="24"/>
              </w:rPr>
              <w:t xml:space="preserve"> </w:t>
            </w:r>
            <w:r w:rsidRPr="00E26DB1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A633CB" w:rsidRPr="000F125A" w14:paraId="5F157EE3" w14:textId="77777777" w:rsidTr="00B518E4">
        <w:tc>
          <w:tcPr>
            <w:tcW w:w="6310" w:type="dxa"/>
          </w:tcPr>
          <w:p w14:paraId="0C7DA327" w14:textId="77777777" w:rsidR="00A633CB" w:rsidRPr="00E26DB1" w:rsidRDefault="00A633CB" w:rsidP="00A633CB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Kóta max. hladiny retenčního </w:t>
            </w:r>
            <w:r w:rsidRPr="00E26DB1">
              <w:rPr>
                <w:rFonts w:asciiTheme="minorHAnsi" w:hAnsiTheme="minorHAnsi"/>
                <w:szCs w:val="24"/>
              </w:rPr>
              <w:t xml:space="preserve">ovlad. prostoru </w:t>
            </w:r>
            <w:r>
              <w:rPr>
                <w:rFonts w:asciiTheme="minorHAnsi" w:hAnsiTheme="minorHAnsi"/>
                <w:szCs w:val="24"/>
              </w:rPr>
              <w:t>(přeliv)</w:t>
            </w:r>
          </w:p>
        </w:tc>
        <w:tc>
          <w:tcPr>
            <w:tcW w:w="2066" w:type="dxa"/>
          </w:tcPr>
          <w:p w14:paraId="4AE8C68A" w14:textId="77777777" w:rsidR="00A633CB" w:rsidRPr="00E26DB1" w:rsidRDefault="00A633CB" w:rsidP="00B518E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283,27</w:t>
            </w:r>
            <w:r w:rsidRPr="00E26DB1">
              <w:rPr>
                <w:rFonts w:asciiTheme="minorHAnsi" w:hAnsiTheme="minorHAnsi"/>
                <w:szCs w:val="24"/>
              </w:rPr>
              <w:t xml:space="preserve"> m n.</w:t>
            </w:r>
            <w:r>
              <w:rPr>
                <w:rFonts w:asciiTheme="minorHAnsi" w:hAnsiTheme="minorHAnsi"/>
                <w:szCs w:val="24"/>
              </w:rPr>
              <w:t xml:space="preserve"> </w:t>
            </w:r>
            <w:r w:rsidRPr="00E26DB1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A633CB" w:rsidRPr="000F125A" w14:paraId="66775997" w14:textId="77777777" w:rsidTr="00B518E4">
        <w:tc>
          <w:tcPr>
            <w:tcW w:w="6310" w:type="dxa"/>
          </w:tcPr>
          <w:p w14:paraId="56B1B3BD" w14:textId="77777777" w:rsidR="00A633CB" w:rsidRPr="00E26DB1" w:rsidRDefault="00A633CB" w:rsidP="00B518E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Objem neovladatelného retenčního prostoru </w:t>
            </w:r>
          </w:p>
        </w:tc>
        <w:tc>
          <w:tcPr>
            <w:tcW w:w="2066" w:type="dxa"/>
          </w:tcPr>
          <w:p w14:paraId="7A493B5D" w14:textId="77777777" w:rsidR="00A633CB" w:rsidRPr="00E26DB1" w:rsidRDefault="00A633CB" w:rsidP="00B518E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A633CB">
              <w:rPr>
                <w:rFonts w:asciiTheme="minorHAnsi" w:hAnsiTheme="minorHAnsi"/>
                <w:szCs w:val="24"/>
              </w:rPr>
              <w:t>1 049</w:t>
            </w:r>
            <w:r>
              <w:rPr>
                <w:rFonts w:asciiTheme="minorHAnsi" w:hAnsiTheme="minorHAnsi"/>
                <w:szCs w:val="24"/>
              </w:rPr>
              <w:t> </w:t>
            </w:r>
            <w:r w:rsidRPr="00A633CB">
              <w:rPr>
                <w:rFonts w:asciiTheme="minorHAnsi" w:hAnsiTheme="minorHAnsi"/>
                <w:szCs w:val="24"/>
              </w:rPr>
              <w:t>335</w:t>
            </w:r>
            <w:r>
              <w:rPr>
                <w:rFonts w:asciiTheme="minorHAnsi" w:hAnsiTheme="minorHAnsi"/>
                <w:szCs w:val="24"/>
              </w:rPr>
              <w:t xml:space="preserve"> </w:t>
            </w:r>
            <w:r w:rsidRPr="00E26DB1">
              <w:rPr>
                <w:rFonts w:asciiTheme="minorHAnsi" w:hAnsiTheme="minorHAnsi"/>
                <w:szCs w:val="24"/>
              </w:rPr>
              <w:t>m3</w:t>
            </w:r>
          </w:p>
        </w:tc>
      </w:tr>
      <w:tr w:rsidR="00A633CB" w:rsidRPr="000F125A" w14:paraId="400E99D5" w14:textId="77777777" w:rsidTr="00B518E4">
        <w:tc>
          <w:tcPr>
            <w:tcW w:w="6310" w:type="dxa"/>
          </w:tcPr>
          <w:p w14:paraId="0BB4EAF9" w14:textId="77777777" w:rsidR="00A633CB" w:rsidRPr="000F125A" w:rsidRDefault="00A633CB" w:rsidP="00B518E4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36A70243" w14:textId="77777777" w:rsidR="00A633CB" w:rsidRPr="000F125A" w:rsidRDefault="00A633CB" w:rsidP="00B518E4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361 000</w:t>
            </w:r>
            <w:r w:rsidRPr="00E26DB1">
              <w:rPr>
                <w:rFonts w:asciiTheme="minorHAnsi" w:hAnsiTheme="minorHAnsi" w:cs="Times New Roman"/>
              </w:rPr>
              <w:t xml:space="preserve"> m2</w:t>
            </w:r>
          </w:p>
        </w:tc>
      </w:tr>
    </w:tbl>
    <w:p w14:paraId="0B3063E3" w14:textId="77777777" w:rsidR="00A633CB" w:rsidRDefault="00A633CB" w:rsidP="000F125A">
      <w:pPr>
        <w:pStyle w:val="Normlnodsazen"/>
        <w:rPr>
          <w:rFonts w:asciiTheme="minorHAnsi" w:hAnsiTheme="minorHAnsi"/>
          <w:szCs w:val="24"/>
        </w:rPr>
      </w:pPr>
    </w:p>
    <w:p w14:paraId="5A74B755" w14:textId="77777777" w:rsidR="00A633CB" w:rsidRDefault="00A633CB" w:rsidP="000F125A">
      <w:pPr>
        <w:pStyle w:val="Normlnodsazen"/>
        <w:rPr>
          <w:rFonts w:asciiTheme="minorHAnsi" w:hAnsiTheme="minorHAnsi"/>
          <w:szCs w:val="24"/>
        </w:rPr>
      </w:pPr>
    </w:p>
    <w:p w14:paraId="4AAA16BD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retenční neovladatelný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1162E5" w:rsidRPr="000F125A" w14:paraId="40F851C8" w14:textId="77777777" w:rsidTr="00402B17">
        <w:tc>
          <w:tcPr>
            <w:tcW w:w="6310" w:type="dxa"/>
          </w:tcPr>
          <w:p w14:paraId="7A3728D9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min. hladiny neovladatelného retenčního prostoru (přeliv) </w:t>
            </w:r>
          </w:p>
        </w:tc>
        <w:tc>
          <w:tcPr>
            <w:tcW w:w="2066" w:type="dxa"/>
          </w:tcPr>
          <w:p w14:paraId="31270505" w14:textId="77777777" w:rsidR="001162E5" w:rsidRPr="00E26DB1" w:rsidRDefault="00A633CB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283,27</w:t>
            </w:r>
            <w:r w:rsidR="001162E5" w:rsidRPr="00E26DB1">
              <w:rPr>
                <w:rFonts w:asciiTheme="minorHAnsi" w:hAnsiTheme="minorHAnsi"/>
                <w:szCs w:val="24"/>
              </w:rPr>
              <w:t xml:space="preserve"> 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E26DB1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2FDA8D90" w14:textId="77777777" w:rsidTr="00402B17">
        <w:tc>
          <w:tcPr>
            <w:tcW w:w="6310" w:type="dxa"/>
          </w:tcPr>
          <w:p w14:paraId="11662BA4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max. hladiny retenčního neovlad. prostoru Hmax. </w:t>
            </w:r>
          </w:p>
        </w:tc>
        <w:tc>
          <w:tcPr>
            <w:tcW w:w="2066" w:type="dxa"/>
          </w:tcPr>
          <w:p w14:paraId="17A4FF15" w14:textId="77777777" w:rsidR="001162E5" w:rsidRPr="00E26DB1" w:rsidRDefault="00A633CB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284,70</w:t>
            </w:r>
            <w:r w:rsidR="001162E5" w:rsidRPr="00E26DB1">
              <w:rPr>
                <w:rFonts w:asciiTheme="minorHAnsi" w:hAnsiTheme="minorHAnsi"/>
                <w:szCs w:val="24"/>
              </w:rPr>
              <w:t xml:space="preserve"> 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E26DB1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051CBF87" w14:textId="77777777" w:rsidTr="00402B17">
        <w:tc>
          <w:tcPr>
            <w:tcW w:w="6310" w:type="dxa"/>
          </w:tcPr>
          <w:p w14:paraId="6E75AB58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Objem neovladatelného retenčního prostoru </w:t>
            </w:r>
          </w:p>
        </w:tc>
        <w:tc>
          <w:tcPr>
            <w:tcW w:w="2066" w:type="dxa"/>
          </w:tcPr>
          <w:p w14:paraId="333B4D99" w14:textId="77777777" w:rsidR="001162E5" w:rsidRPr="00E26DB1" w:rsidRDefault="00A633CB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A633CB">
              <w:rPr>
                <w:rFonts w:asciiTheme="minorHAnsi" w:hAnsiTheme="minorHAnsi"/>
                <w:szCs w:val="24"/>
              </w:rPr>
              <w:t>544</w:t>
            </w:r>
            <w:r>
              <w:rPr>
                <w:rFonts w:asciiTheme="minorHAnsi" w:hAnsiTheme="minorHAnsi"/>
                <w:szCs w:val="24"/>
              </w:rPr>
              <w:t> </w:t>
            </w:r>
            <w:r w:rsidRPr="00A633CB">
              <w:rPr>
                <w:rFonts w:asciiTheme="minorHAnsi" w:hAnsiTheme="minorHAnsi"/>
                <w:szCs w:val="24"/>
              </w:rPr>
              <w:t>409</w:t>
            </w:r>
            <w:r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E26DB1">
              <w:rPr>
                <w:rFonts w:asciiTheme="minorHAnsi" w:hAnsiTheme="minorHAnsi"/>
                <w:szCs w:val="24"/>
              </w:rPr>
              <w:t>m3</w:t>
            </w:r>
          </w:p>
        </w:tc>
      </w:tr>
      <w:tr w:rsidR="000F125A" w:rsidRPr="000F125A" w14:paraId="67819B46" w14:textId="77777777" w:rsidTr="00402B17">
        <w:tc>
          <w:tcPr>
            <w:tcW w:w="6310" w:type="dxa"/>
          </w:tcPr>
          <w:p w14:paraId="3AEC4275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14BE66FC" w14:textId="77777777" w:rsidR="000F125A" w:rsidRPr="000F125A" w:rsidRDefault="00E26DB1" w:rsidP="00A633CB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>40</w:t>
            </w:r>
            <w:r w:rsidR="00A633CB">
              <w:rPr>
                <w:rFonts w:asciiTheme="minorHAnsi" w:hAnsiTheme="minorHAnsi" w:cs="Times New Roman"/>
              </w:rPr>
              <w:t>0 000</w:t>
            </w:r>
            <w:r w:rsidRPr="00E26DB1">
              <w:rPr>
                <w:rFonts w:asciiTheme="minorHAnsi" w:hAnsiTheme="minorHAnsi" w:cs="Times New Roman"/>
              </w:rPr>
              <w:t xml:space="preserve"> m2</w:t>
            </w:r>
          </w:p>
        </w:tc>
      </w:tr>
    </w:tbl>
    <w:p w14:paraId="722EC270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06E6461E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Celkový prostor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E26DB1" w:rsidRPr="000F125A" w14:paraId="1938F68E" w14:textId="77777777" w:rsidTr="00402B17">
        <w:tc>
          <w:tcPr>
            <w:tcW w:w="6310" w:type="dxa"/>
          </w:tcPr>
          <w:p w14:paraId="4B1C9117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Maximální hladina </w:t>
            </w:r>
          </w:p>
        </w:tc>
        <w:tc>
          <w:tcPr>
            <w:tcW w:w="2066" w:type="dxa"/>
          </w:tcPr>
          <w:p w14:paraId="21F6EEEE" w14:textId="77777777" w:rsidR="00E26DB1" w:rsidRPr="00E26DB1" w:rsidRDefault="00A633CB" w:rsidP="005B5E65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284,70</w:t>
            </w:r>
            <w:r w:rsidR="00E26DB1" w:rsidRPr="00E26DB1">
              <w:rPr>
                <w:rFonts w:asciiTheme="minorHAnsi" w:hAnsiTheme="minorHAnsi" w:cs="Times New Roman"/>
              </w:rPr>
              <w:t xml:space="preserve"> m n.</w:t>
            </w:r>
            <w:r w:rsidR="00E26DB1">
              <w:rPr>
                <w:rFonts w:asciiTheme="minorHAnsi" w:hAnsiTheme="minorHAnsi" w:cs="Times New Roman"/>
              </w:rPr>
              <w:t xml:space="preserve"> </w:t>
            </w:r>
            <w:r w:rsidR="00E26DB1" w:rsidRPr="00E26DB1">
              <w:rPr>
                <w:rFonts w:asciiTheme="minorHAnsi" w:hAnsiTheme="minorHAnsi" w:cs="Times New Roman"/>
              </w:rPr>
              <w:t>m.</w:t>
            </w:r>
          </w:p>
        </w:tc>
      </w:tr>
      <w:tr w:rsidR="00E26DB1" w:rsidRPr="000F125A" w14:paraId="1C659CF8" w14:textId="77777777" w:rsidTr="00402B17">
        <w:tc>
          <w:tcPr>
            <w:tcW w:w="6310" w:type="dxa"/>
          </w:tcPr>
          <w:p w14:paraId="3957741D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Celkový objem nádrže </w:t>
            </w:r>
          </w:p>
        </w:tc>
        <w:tc>
          <w:tcPr>
            <w:tcW w:w="2066" w:type="dxa"/>
          </w:tcPr>
          <w:p w14:paraId="6B0E3DCC" w14:textId="77777777" w:rsidR="00E26DB1" w:rsidRPr="00E26DB1" w:rsidRDefault="00A633CB" w:rsidP="005B5E65">
            <w:pPr>
              <w:rPr>
                <w:rFonts w:asciiTheme="minorHAnsi" w:hAnsiTheme="minorHAnsi" w:cs="Times New Roman"/>
              </w:rPr>
            </w:pPr>
            <w:r w:rsidRPr="00A633CB">
              <w:rPr>
                <w:rFonts w:asciiTheme="minorHAnsi" w:hAnsiTheme="minorHAnsi" w:cs="Times New Roman"/>
              </w:rPr>
              <w:t>2 733</w:t>
            </w:r>
            <w:r>
              <w:rPr>
                <w:rFonts w:asciiTheme="minorHAnsi" w:hAnsiTheme="minorHAnsi" w:cs="Times New Roman"/>
              </w:rPr>
              <w:t> </w:t>
            </w:r>
            <w:r w:rsidRPr="00A633CB">
              <w:rPr>
                <w:rFonts w:asciiTheme="minorHAnsi" w:hAnsiTheme="minorHAnsi" w:cs="Times New Roman"/>
              </w:rPr>
              <w:t>619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="00E26DB1" w:rsidRPr="00E26DB1">
              <w:rPr>
                <w:rFonts w:asciiTheme="minorHAnsi" w:hAnsiTheme="minorHAnsi" w:cs="Times New Roman"/>
              </w:rPr>
              <w:t>m3</w:t>
            </w:r>
          </w:p>
        </w:tc>
      </w:tr>
      <w:tr w:rsidR="00E26DB1" w:rsidRPr="000F125A" w14:paraId="264255D4" w14:textId="77777777" w:rsidTr="00402B17">
        <w:tc>
          <w:tcPr>
            <w:tcW w:w="6310" w:type="dxa"/>
          </w:tcPr>
          <w:p w14:paraId="01439244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Celková zatopená plocha </w:t>
            </w:r>
          </w:p>
        </w:tc>
        <w:tc>
          <w:tcPr>
            <w:tcW w:w="2066" w:type="dxa"/>
          </w:tcPr>
          <w:p w14:paraId="184EE8B6" w14:textId="77777777" w:rsidR="00E26DB1" w:rsidRPr="00E26DB1" w:rsidRDefault="00A633CB" w:rsidP="005B5E65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400 000</w:t>
            </w:r>
            <w:r w:rsidR="00E26DB1" w:rsidRPr="00E26DB1">
              <w:rPr>
                <w:rFonts w:asciiTheme="minorHAnsi" w:hAnsiTheme="minorHAnsi" w:cs="Times New Roman"/>
              </w:rPr>
              <w:t xml:space="preserve"> m2</w:t>
            </w:r>
          </w:p>
        </w:tc>
      </w:tr>
    </w:tbl>
    <w:p w14:paraId="59E35E79" w14:textId="77777777" w:rsidR="000F125A" w:rsidRDefault="000F125A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2AC2FD9" w14:textId="77777777" w:rsidR="00A633CB" w:rsidRDefault="00A633CB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2B45892" w14:textId="77777777" w:rsidR="00A633CB" w:rsidRDefault="00A633CB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BB6B07B" w14:textId="77777777" w:rsidR="00A633CB" w:rsidRDefault="00A633CB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A9D4E8E" w14:textId="77777777" w:rsidR="008D7F4C" w:rsidRPr="008D7F4C" w:rsidRDefault="008D7F4C" w:rsidP="008D7F4C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8D7F4C">
        <w:rPr>
          <w:rFonts w:asciiTheme="minorHAnsi" w:hAnsiTheme="minorHAnsi"/>
          <w:sz w:val="24"/>
          <w:szCs w:val="24"/>
        </w:rPr>
        <w:t>Hráz je zemní přímá s návodním jílovým těsněním. Stabilizační část je nasypaná</w:t>
      </w:r>
    </w:p>
    <w:p w14:paraId="6FDB5867" w14:textId="77777777" w:rsidR="000F125A" w:rsidRDefault="008D7F4C" w:rsidP="008D7F4C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8D7F4C">
        <w:rPr>
          <w:rFonts w:asciiTheme="minorHAnsi" w:hAnsiTheme="minorHAnsi"/>
          <w:sz w:val="24"/>
          <w:szCs w:val="24"/>
        </w:rPr>
        <w:lastRenderedPageBreak/>
        <w:t>z hlinitopísčitého materiálu, pro zvýšení stability byl do násypu přidáván drcený</w:t>
      </w:r>
      <w:r>
        <w:rPr>
          <w:rFonts w:asciiTheme="minorHAnsi" w:hAnsiTheme="minorHAnsi"/>
          <w:sz w:val="24"/>
          <w:szCs w:val="24"/>
        </w:rPr>
        <w:t xml:space="preserve"> štěrkopísek </w:t>
      </w:r>
      <w:r w:rsidR="00E26DB1">
        <w:rPr>
          <w:rFonts w:asciiTheme="minorHAnsi" w:hAnsiTheme="minorHAnsi"/>
          <w:sz w:val="24"/>
          <w:szCs w:val="24"/>
        </w:rPr>
        <w:t>o</w:t>
      </w:r>
      <w:r w:rsidR="000F125A" w:rsidRPr="000F125A">
        <w:rPr>
          <w:rFonts w:asciiTheme="minorHAnsi" w:hAnsiTheme="minorHAnsi"/>
          <w:sz w:val="24"/>
          <w:szCs w:val="24"/>
        </w:rPr>
        <w:t xml:space="preserve"> výšce nade dnem údolí </w:t>
      </w:r>
      <w:r>
        <w:rPr>
          <w:rFonts w:asciiTheme="minorHAnsi" w:hAnsiTheme="minorHAnsi"/>
          <w:sz w:val="24"/>
          <w:szCs w:val="24"/>
        </w:rPr>
        <w:t>17,47</w:t>
      </w:r>
      <w:r w:rsidR="000F125A">
        <w:rPr>
          <w:rFonts w:asciiTheme="minorHAnsi" w:hAnsiTheme="minorHAnsi"/>
          <w:sz w:val="24"/>
          <w:szCs w:val="24"/>
        </w:rPr>
        <w:t xml:space="preserve"> m. </w:t>
      </w:r>
    </w:p>
    <w:p w14:paraId="4CDB57CF" w14:textId="77777777" w:rsidR="00AF371C" w:rsidRDefault="003946F4" w:rsidP="00AF371C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je vybaveno výpustnými zařízeními. Tato zařízení jsou umístěna </w:t>
      </w:r>
      <w:r w:rsidR="00E26DB1">
        <w:rPr>
          <w:rFonts w:asciiTheme="minorHAnsi" w:hAnsiTheme="minorHAnsi"/>
          <w:sz w:val="24"/>
          <w:szCs w:val="24"/>
        </w:rPr>
        <w:t xml:space="preserve">v manipulační věži, která je předsunuta před </w:t>
      </w:r>
      <w:r w:rsidR="0033057A">
        <w:rPr>
          <w:rFonts w:asciiTheme="minorHAnsi" w:hAnsiTheme="minorHAnsi"/>
          <w:sz w:val="24"/>
          <w:szCs w:val="24"/>
        </w:rPr>
        <w:t>hrá</w:t>
      </w:r>
      <w:r w:rsidR="00E26DB1">
        <w:rPr>
          <w:rFonts w:asciiTheme="minorHAnsi" w:hAnsiTheme="minorHAnsi"/>
          <w:sz w:val="24"/>
          <w:szCs w:val="24"/>
        </w:rPr>
        <w:t>zí</w:t>
      </w:r>
      <w:r>
        <w:rPr>
          <w:rFonts w:asciiTheme="minorHAnsi" w:hAnsiTheme="minorHAnsi"/>
          <w:sz w:val="24"/>
          <w:szCs w:val="24"/>
        </w:rPr>
        <w:t>.</w:t>
      </w:r>
      <w:r w:rsidRPr="003946F4">
        <w:t xml:space="preserve"> </w:t>
      </w:r>
      <w:r w:rsidR="00AF371C" w:rsidRPr="00AF371C">
        <w:rPr>
          <w:rFonts w:asciiTheme="minorHAnsi" w:hAnsiTheme="minorHAnsi"/>
          <w:sz w:val="24"/>
          <w:szCs w:val="24"/>
        </w:rPr>
        <w:t>Uvnitř věže jsou nátoky do dvou spodních výpustí a MVE. Pod dnem věže je uloženo</w:t>
      </w:r>
      <w:r w:rsidR="00AF371C">
        <w:rPr>
          <w:rFonts w:asciiTheme="minorHAnsi" w:hAnsiTheme="minorHAnsi"/>
          <w:sz w:val="24"/>
          <w:szCs w:val="24"/>
        </w:rPr>
        <w:t xml:space="preserve"> </w:t>
      </w:r>
      <w:r w:rsidR="00AF371C" w:rsidRPr="00AF371C">
        <w:rPr>
          <w:rFonts w:asciiTheme="minorHAnsi" w:hAnsiTheme="minorHAnsi"/>
          <w:sz w:val="24"/>
          <w:szCs w:val="24"/>
        </w:rPr>
        <w:t>užitkové potrubí – hospodářská výpust. Z boků věže jsou vyvedeny dvě násosky –</w:t>
      </w:r>
      <w:r w:rsidR="00AF371C">
        <w:rPr>
          <w:rFonts w:asciiTheme="minorHAnsi" w:hAnsiTheme="minorHAnsi"/>
          <w:sz w:val="24"/>
          <w:szCs w:val="24"/>
        </w:rPr>
        <w:t xml:space="preserve"> </w:t>
      </w:r>
      <w:r w:rsidR="00AF371C" w:rsidRPr="00AF371C">
        <w:rPr>
          <w:rFonts w:asciiTheme="minorHAnsi" w:hAnsiTheme="minorHAnsi"/>
          <w:sz w:val="24"/>
          <w:szCs w:val="24"/>
        </w:rPr>
        <w:t>střední výpusti.</w:t>
      </w:r>
    </w:p>
    <w:p w14:paraId="15C48BB9" w14:textId="77777777" w:rsidR="000F125A" w:rsidRPr="000F125A" w:rsidRDefault="000F125A" w:rsidP="00AF371C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 xml:space="preserve">Spodní výpusti </w:t>
      </w:r>
      <w:r w:rsidR="00B956F0">
        <w:rPr>
          <w:rFonts w:asciiTheme="minorHAnsi" w:hAnsiTheme="minorHAnsi"/>
          <w:sz w:val="24"/>
          <w:szCs w:val="24"/>
        </w:rPr>
        <w:t>a odběry</w:t>
      </w:r>
    </w:p>
    <w:p w14:paraId="303104C9" w14:textId="77777777" w:rsidR="00AF371C" w:rsidRDefault="00AF371C" w:rsidP="00AF371C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AF371C">
        <w:rPr>
          <w:rFonts w:asciiTheme="minorHAnsi" w:hAnsiTheme="minorHAnsi"/>
          <w:sz w:val="24"/>
          <w:szCs w:val="24"/>
        </w:rPr>
        <w:t>Spodní výpust tvoří dvě ocelová potrubí DN 1000</w:t>
      </w:r>
      <w:r>
        <w:rPr>
          <w:rFonts w:asciiTheme="minorHAnsi" w:hAnsiTheme="minorHAnsi"/>
          <w:sz w:val="24"/>
          <w:szCs w:val="24"/>
        </w:rPr>
        <w:t xml:space="preserve">. </w:t>
      </w:r>
      <w:r w:rsidRPr="00AF371C">
        <w:rPr>
          <w:rFonts w:asciiTheme="minorHAnsi" w:hAnsiTheme="minorHAnsi"/>
          <w:sz w:val="24"/>
          <w:szCs w:val="24"/>
        </w:rPr>
        <w:t>Provozní uzávěry jsou dvě klínová šoupátka umístěná uvnitř věže. K otevírání a</w:t>
      </w:r>
      <w:r>
        <w:rPr>
          <w:rFonts w:asciiTheme="minorHAnsi" w:hAnsiTheme="minorHAnsi"/>
          <w:sz w:val="24"/>
          <w:szCs w:val="24"/>
        </w:rPr>
        <w:t xml:space="preserve"> </w:t>
      </w:r>
      <w:r w:rsidRPr="00AF371C">
        <w:rPr>
          <w:rFonts w:asciiTheme="minorHAnsi" w:hAnsiTheme="minorHAnsi"/>
          <w:sz w:val="24"/>
          <w:szCs w:val="24"/>
        </w:rPr>
        <w:t>zavírání uzávěru slouží dva servomotory umístěné v ovládacím prostoru věže. Každá</w:t>
      </w:r>
      <w:r>
        <w:rPr>
          <w:rFonts w:asciiTheme="minorHAnsi" w:hAnsiTheme="minorHAnsi"/>
          <w:sz w:val="24"/>
          <w:szCs w:val="24"/>
        </w:rPr>
        <w:t xml:space="preserve"> </w:t>
      </w:r>
      <w:r w:rsidRPr="00AF371C">
        <w:rPr>
          <w:rFonts w:asciiTheme="minorHAnsi" w:hAnsiTheme="minorHAnsi"/>
          <w:sz w:val="24"/>
          <w:szCs w:val="24"/>
        </w:rPr>
        <w:t>výpust má samostatný elektropohon, rozvaděč je společný, umístěný je na pravé straně</w:t>
      </w:r>
      <w:r>
        <w:rPr>
          <w:rFonts w:asciiTheme="minorHAnsi" w:hAnsiTheme="minorHAnsi"/>
          <w:sz w:val="24"/>
          <w:szCs w:val="24"/>
        </w:rPr>
        <w:t xml:space="preserve"> </w:t>
      </w:r>
      <w:r w:rsidRPr="00AF371C">
        <w:rPr>
          <w:rFonts w:asciiTheme="minorHAnsi" w:hAnsiTheme="minorHAnsi"/>
          <w:sz w:val="24"/>
          <w:szCs w:val="24"/>
        </w:rPr>
        <w:t>obsluhujícího prostoru.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63915EEC" w14:textId="77777777" w:rsidR="0045411D" w:rsidRDefault="00AF371C" w:rsidP="00AF371C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</w:t>
      </w:r>
      <w:r w:rsidRPr="00AF371C">
        <w:rPr>
          <w:rFonts w:asciiTheme="minorHAnsi" w:hAnsiTheme="minorHAnsi"/>
          <w:sz w:val="24"/>
          <w:szCs w:val="24"/>
        </w:rPr>
        <w:t>ospodářská výpust (užitkové potrubí)</w:t>
      </w:r>
      <w:r>
        <w:rPr>
          <w:rFonts w:asciiTheme="minorHAnsi" w:hAnsiTheme="minorHAnsi"/>
          <w:sz w:val="24"/>
          <w:szCs w:val="24"/>
        </w:rPr>
        <w:t xml:space="preserve"> je l</w:t>
      </w:r>
      <w:r w:rsidRPr="00AF371C">
        <w:rPr>
          <w:rFonts w:asciiTheme="minorHAnsi" w:hAnsiTheme="minorHAnsi"/>
          <w:sz w:val="24"/>
          <w:szCs w:val="24"/>
        </w:rPr>
        <w:t>itinové potrubí DN 375</w:t>
      </w:r>
      <w:r>
        <w:rPr>
          <w:rFonts w:asciiTheme="minorHAnsi" w:hAnsiTheme="minorHAnsi"/>
          <w:sz w:val="24"/>
          <w:szCs w:val="24"/>
        </w:rPr>
        <w:t>, které</w:t>
      </w:r>
      <w:r w:rsidRPr="00AF371C">
        <w:rPr>
          <w:rFonts w:asciiTheme="minorHAnsi" w:hAnsiTheme="minorHAnsi"/>
          <w:sz w:val="24"/>
          <w:szCs w:val="24"/>
        </w:rPr>
        <w:t xml:space="preserve"> odvádí za normálního přítoku vody do přehrady nadlepšený</w:t>
      </w:r>
      <w:r>
        <w:rPr>
          <w:rFonts w:asciiTheme="minorHAnsi" w:hAnsiTheme="minorHAnsi"/>
          <w:sz w:val="24"/>
          <w:szCs w:val="24"/>
        </w:rPr>
        <w:t xml:space="preserve"> </w:t>
      </w:r>
      <w:r w:rsidRPr="00AF371C">
        <w:rPr>
          <w:rFonts w:asciiTheme="minorHAnsi" w:hAnsiTheme="minorHAnsi"/>
          <w:sz w:val="24"/>
          <w:szCs w:val="24"/>
        </w:rPr>
        <w:t>průtok (resp. minimální průtok) do Luhačovického potoka. Potrubí je umístěno před</w:t>
      </w:r>
      <w:r>
        <w:rPr>
          <w:rFonts w:asciiTheme="minorHAnsi" w:hAnsiTheme="minorHAnsi"/>
          <w:sz w:val="24"/>
          <w:szCs w:val="24"/>
        </w:rPr>
        <w:t xml:space="preserve"> vtokovou věží, svisle.</w:t>
      </w:r>
    </w:p>
    <w:p w14:paraId="5AF35DA6" w14:textId="77777777" w:rsidR="0045411D" w:rsidRDefault="007F7C57" w:rsidP="007F7C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</w:t>
      </w:r>
      <w:r w:rsidRPr="007F7C57">
        <w:rPr>
          <w:rFonts w:asciiTheme="minorHAnsi" w:hAnsiTheme="minorHAnsi"/>
          <w:sz w:val="24"/>
          <w:szCs w:val="24"/>
        </w:rPr>
        <w:t>třední výpusti (násosky)</w:t>
      </w:r>
      <w:r>
        <w:rPr>
          <w:rFonts w:asciiTheme="minorHAnsi" w:hAnsiTheme="minorHAnsi"/>
          <w:sz w:val="24"/>
          <w:szCs w:val="24"/>
        </w:rPr>
        <w:t xml:space="preserve"> tvoří d</w:t>
      </w:r>
      <w:r w:rsidRPr="007F7C57">
        <w:rPr>
          <w:rFonts w:asciiTheme="minorHAnsi" w:hAnsiTheme="minorHAnsi"/>
          <w:sz w:val="24"/>
          <w:szCs w:val="24"/>
        </w:rPr>
        <w:t>vě násosky</w:t>
      </w:r>
      <w:r>
        <w:rPr>
          <w:rFonts w:asciiTheme="minorHAnsi" w:hAnsiTheme="minorHAnsi"/>
          <w:sz w:val="24"/>
          <w:szCs w:val="24"/>
        </w:rPr>
        <w:t>, které</w:t>
      </w:r>
      <w:r w:rsidRPr="007F7C57">
        <w:rPr>
          <w:rFonts w:asciiTheme="minorHAnsi" w:hAnsiTheme="minorHAnsi"/>
          <w:sz w:val="24"/>
          <w:szCs w:val="24"/>
        </w:rPr>
        <w:t xml:space="preserve"> jsou umístěny v bočních stěnách věže.</w:t>
      </w:r>
      <w:r>
        <w:rPr>
          <w:rFonts w:asciiTheme="minorHAnsi" w:hAnsiTheme="minorHAnsi"/>
          <w:sz w:val="24"/>
          <w:szCs w:val="24"/>
        </w:rPr>
        <w:t xml:space="preserve"> </w:t>
      </w:r>
      <w:r w:rsidRPr="007F7C57">
        <w:rPr>
          <w:rFonts w:asciiTheme="minorHAnsi" w:hAnsiTheme="minorHAnsi"/>
          <w:sz w:val="24"/>
          <w:szCs w:val="24"/>
        </w:rPr>
        <w:t>Násosky jsou obdélníkového průřezu 0,60 x 0,90 m s kruhovými sacími otvory DN 1000.</w:t>
      </w:r>
      <w:r>
        <w:rPr>
          <w:rFonts w:asciiTheme="minorHAnsi" w:hAnsiTheme="minorHAnsi"/>
          <w:sz w:val="24"/>
          <w:szCs w:val="24"/>
        </w:rPr>
        <w:t xml:space="preserve"> </w:t>
      </w:r>
      <w:r w:rsidRPr="007F7C57">
        <w:rPr>
          <w:rFonts w:asciiTheme="minorHAnsi" w:hAnsiTheme="minorHAnsi"/>
          <w:sz w:val="24"/>
          <w:szCs w:val="24"/>
        </w:rPr>
        <w:t>Uzavírají se zvenku věže železnými stavidly. Ovládají se ručními zvedáky ze strojovny.</w:t>
      </w:r>
    </w:p>
    <w:p w14:paraId="455C81F2" w14:textId="77777777" w:rsidR="000F125A" w:rsidRPr="000F125A" w:rsidRDefault="000F125A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>Přeliv</w:t>
      </w:r>
    </w:p>
    <w:p w14:paraId="08F1F630" w14:textId="77777777" w:rsidR="000F125A" w:rsidRDefault="007F7C57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F7C57">
        <w:rPr>
          <w:rFonts w:asciiTheme="minorHAnsi" w:hAnsiTheme="minorHAnsi"/>
          <w:sz w:val="24"/>
          <w:szCs w:val="24"/>
        </w:rPr>
        <w:t xml:space="preserve">Bezpečnostní </w:t>
      </w:r>
      <w:r>
        <w:rPr>
          <w:rFonts w:asciiTheme="minorHAnsi" w:hAnsiTheme="minorHAnsi"/>
          <w:sz w:val="24"/>
          <w:szCs w:val="24"/>
        </w:rPr>
        <w:t xml:space="preserve">přeliv </w:t>
      </w:r>
      <w:r w:rsidRPr="007F7C57">
        <w:rPr>
          <w:rFonts w:asciiTheme="minorHAnsi" w:hAnsiTheme="minorHAnsi"/>
          <w:sz w:val="24"/>
          <w:szCs w:val="24"/>
        </w:rPr>
        <w:t>je založen v jílovitopísčitém diluiálním masivu. Přeliv je boční, nehrazený se zavázáním do levého břehu.</w:t>
      </w:r>
      <w:r w:rsidRPr="007F7C57">
        <w:t xml:space="preserve"> </w:t>
      </w:r>
      <w:r w:rsidRPr="007F7C57">
        <w:rPr>
          <w:rFonts w:asciiTheme="minorHAnsi" w:hAnsiTheme="minorHAnsi"/>
          <w:sz w:val="24"/>
          <w:szCs w:val="24"/>
        </w:rPr>
        <w:t>Spadiště plynule navazuje na skluz, který pokračuje na vzdušní straně hráze kaskádovitým korytem do vývaru.</w:t>
      </w:r>
    </w:p>
    <w:p w14:paraId="457E37AD" w14:textId="77777777" w:rsidR="003A510F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Zázemí je tvořeno především domkem hrázného. Na přítoku a odtoku jsou vybudován</w:t>
      </w:r>
      <w:r w:rsidR="00B956F0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 xml:space="preserve">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162AB015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hráz i ostatní objekty mají nainstalováno několik automatických měření, které jsou přenášeny do systému umístěného v domku hrázného. </w:t>
      </w:r>
    </w:p>
    <w:p w14:paraId="7EB1CCFF" w14:textId="77777777" w:rsidR="003A510F" w:rsidRPr="000004A7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6125BC2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0956E48B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658A4B69" w14:textId="77777777" w:rsidR="003946F4" w:rsidRPr="00DA19B9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57BEDB7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B.2.8. Požárně bezpečnostní řešení</w:t>
      </w:r>
    </w:p>
    <w:p w14:paraId="7E5B2E8A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0B1552A8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C10A782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35F71413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lastRenderedPageBreak/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62C9DB51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4EF9807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B.2.10. Hygienické požadavky na stavby, požadavky na pracovní a komunální prostředí</w:t>
      </w:r>
    </w:p>
    <w:p w14:paraId="26A82A13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1C62D32D" w14:textId="77777777" w:rsidR="006017D8" w:rsidRDefault="006017D8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164C28A3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B.2.11. Zásady ochrany stavby před negativními účinky vnějšího prostředí</w:t>
      </w:r>
    </w:p>
    <w:p w14:paraId="02BFAD0A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</w:t>
      </w:r>
      <w:r w:rsidR="00B956F0">
        <w:rPr>
          <w:rFonts w:asciiTheme="minorHAnsi" w:hAnsiTheme="minorHAnsi"/>
          <w:sz w:val="24"/>
          <w:szCs w:val="24"/>
        </w:rPr>
        <w:t>livá měřící místa budou chráněna</w:t>
      </w:r>
      <w:r w:rsidR="003946F4">
        <w:rPr>
          <w:rFonts w:asciiTheme="minorHAnsi" w:hAnsiTheme="minorHAnsi"/>
          <w:sz w:val="24"/>
          <w:szCs w:val="24"/>
        </w:rPr>
        <w:t xml:space="preserve"> přepěťovými ochranami. </w:t>
      </w:r>
    </w:p>
    <w:p w14:paraId="0E5E187A" w14:textId="77777777" w:rsidR="00A17B62" w:rsidRDefault="00A17B62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ADDAA82" w14:textId="77777777" w:rsidR="006017D8" w:rsidRPr="006017D8" w:rsidRDefault="006017D8" w:rsidP="006017D8">
      <w:pPr>
        <w:pStyle w:val="N1"/>
      </w:pPr>
      <w:bookmarkStart w:id="35" w:name="_Toc502913372"/>
      <w:r w:rsidRPr="006017D8">
        <w:t>Připojení na technickou infrastrukturu</w:t>
      </w:r>
      <w:bookmarkEnd w:id="35"/>
    </w:p>
    <w:p w14:paraId="34E311D2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>) napojovací místa technické infrastruktury, přeložky</w:t>
      </w:r>
    </w:p>
    <w:p w14:paraId="062F81E7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B956F0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</w:t>
      </w:r>
      <w:r w:rsidR="00E61EC7">
        <w:rPr>
          <w:rFonts w:asciiTheme="minorHAnsi" w:hAnsiTheme="minorHAnsi"/>
          <w:sz w:val="24"/>
          <w:szCs w:val="24"/>
        </w:rPr>
        <w:t>připojen</w:t>
      </w:r>
      <w:r>
        <w:rPr>
          <w:rFonts w:asciiTheme="minorHAnsi" w:hAnsiTheme="minorHAnsi"/>
          <w:sz w:val="24"/>
          <w:szCs w:val="24"/>
        </w:rPr>
        <w:t>a</w:t>
      </w:r>
      <w:r w:rsidR="00E61EC7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679741DF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30C708BD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5EA716BF" w14:textId="77777777" w:rsidR="006017D8" w:rsidRPr="006017D8" w:rsidRDefault="006017D8" w:rsidP="006017D8">
      <w:pPr>
        <w:pStyle w:val="N1"/>
      </w:pPr>
      <w:bookmarkStart w:id="36" w:name="_Toc502913373"/>
      <w:r w:rsidRPr="006017D8">
        <w:t>Dopravní řešení</w:t>
      </w:r>
      <w:bookmarkEnd w:id="36"/>
    </w:p>
    <w:p w14:paraId="4B20804B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38E68E18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z místních komunikací nebo přímo z koruny hráze.</w:t>
      </w:r>
    </w:p>
    <w:p w14:paraId="7FE6082E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36D4C845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1C13C6C6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3DBD6D40" w14:textId="77777777" w:rsidR="00F74ED1" w:rsidRPr="00713F57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2715097E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pěší a cyklistické stezky</w:t>
      </w:r>
    </w:p>
    <w:p w14:paraId="6D19E70F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15C224CF" w14:textId="77777777" w:rsidR="006017D8" w:rsidRPr="00D812A4" w:rsidRDefault="006017D8" w:rsidP="00D812A4">
      <w:pPr>
        <w:pStyle w:val="Zkladntext"/>
        <w:ind w:left="567"/>
        <w:rPr>
          <w:rFonts w:asciiTheme="minorHAnsi" w:hAnsiTheme="minorHAnsi"/>
          <w:szCs w:val="24"/>
        </w:rPr>
      </w:pPr>
    </w:p>
    <w:p w14:paraId="540AE480" w14:textId="77777777" w:rsidR="00D812A4" w:rsidRPr="006A609C" w:rsidRDefault="006A609C" w:rsidP="006A609C">
      <w:pPr>
        <w:pStyle w:val="N1"/>
      </w:pPr>
      <w:bookmarkStart w:id="37" w:name="_Toc502913374"/>
      <w:r w:rsidRPr="006A609C">
        <w:t>Řešení vegetace a souvisejících terénních úprav</w:t>
      </w:r>
      <w:bookmarkEnd w:id="37"/>
    </w:p>
    <w:p w14:paraId="40ECF165" w14:textId="77777777" w:rsidR="00E8258F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5CF582EF" w14:textId="77777777" w:rsidR="00E8258F" w:rsidRDefault="00E8258F" w:rsidP="00E8258F">
      <w:pPr>
        <w:pStyle w:val="N1"/>
      </w:pPr>
      <w:bookmarkStart w:id="38" w:name="_Toc502913375"/>
      <w:r>
        <w:lastRenderedPageBreak/>
        <w:t>Popis vlivů na životní prostředí a jeho ochrana</w:t>
      </w:r>
      <w:bookmarkEnd w:id="38"/>
    </w:p>
    <w:p w14:paraId="51AD0375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756A8A46" w14:textId="77777777" w:rsidR="00E8258F" w:rsidRPr="00C8527E" w:rsidRDefault="00E8258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Hladina hluku ze stavební činnosti nesmí přesahovat LAeq 65 dB v době od 7,00 – 21,00 hod, LAeq 60 dB v době od 6,00 – 7,00 hod a od 21,00 – 22,00 hod a LAeq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</w:p>
    <w:p w14:paraId="1347996A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3CD54642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Výkopové práce pro uložení kabelů budou prováděny ručně bez mechanizace, výjimkou bude pouze krátkodobé použití mechanizace k narušení povrchů vozovky a chodníků. Jedná se o stavbu časově nenáročnou trvající 7 – 14 dní, bez vlivu nadměrného hluku na okolí.</w:t>
      </w:r>
    </w:p>
    <w:p w14:paraId="5CF52825" w14:textId="77777777" w:rsidR="003946F4" w:rsidRDefault="003946F4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411E8EF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t>Způsob naložení se stavebními odpady</w:t>
      </w:r>
    </w:p>
    <w:p w14:paraId="7E21FC53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předpisů - vyhlášky MŽP č. 381/2001 Sb. (katalog odpadů), a č. 383/2001 Sb. (nakládání s odpady).</w:t>
      </w:r>
    </w:p>
    <w:p w14:paraId="78DA04BE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Odpady vzniklé při stavbě:</w:t>
      </w:r>
    </w:p>
    <w:p w14:paraId="5EF4F252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1477506F" w14:textId="77777777" w:rsidTr="008D23CE">
        <w:tc>
          <w:tcPr>
            <w:tcW w:w="1693" w:type="dxa"/>
            <w:vAlign w:val="center"/>
          </w:tcPr>
          <w:p w14:paraId="76011305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Katalog.č. odpadu dle</w:t>
            </w:r>
          </w:p>
          <w:p w14:paraId="2243A1D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vyhl. MŽP</w:t>
            </w:r>
          </w:p>
          <w:p w14:paraId="17A4E590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2C079616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3A159C7D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6A2140B9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18BCE6D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21F022E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41D69999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055705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28C488E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16C5266B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45F8D3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00B88518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5EB7B22B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0CF5F0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0E7E13D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15CC200F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2F6AA1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5BE797C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569B8301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83B10E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150103</w:t>
            </w:r>
          </w:p>
        </w:tc>
        <w:tc>
          <w:tcPr>
            <w:tcW w:w="1701" w:type="dxa"/>
            <w:vAlign w:val="center"/>
          </w:tcPr>
          <w:p w14:paraId="1D03923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2D0CC882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E74E11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44ED1716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15B2718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6FD994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69EEF3F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0F113DA5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376954C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174A3A7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0B947884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79BA10A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721D8A8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7257DE77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FFE667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4DAD4748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554762C3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59E00DE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03817E3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19D36856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E565DBE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32572C3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1EFA0719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EA4C28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01C8BB2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0CBF5F91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4C20636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4275097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35E9C3B0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78EEFD7B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lastRenderedPageBreak/>
              <w:t>170504</w:t>
            </w:r>
          </w:p>
        </w:tc>
        <w:tc>
          <w:tcPr>
            <w:tcW w:w="1701" w:type="dxa"/>
            <w:vAlign w:val="center"/>
          </w:tcPr>
          <w:p w14:paraId="037F48C1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4516CB56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6837710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4C7B6BF7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6405126C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31A0B11F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Přednostně bude dle §11 zákona o odpadech zajištěno využití odpadů před jejich odstraněním, materiálové využití bude mít přednost před jiným využitím odpadů. </w:t>
      </w:r>
    </w:p>
    <w:p w14:paraId="7CB7BDB6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2FF5EBF3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Dodavatel zemních prací je povinen řídit se §16 zákona o odpadech, zejména vést průběžnou evidenci o odpadech a způsobech nakládání s nimi.</w:t>
      </w:r>
    </w:p>
    <w:p w14:paraId="0869946F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557020EB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49ABB2DC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5AF97371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2ECEA7DE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je mimo soustavu chráněných území Natura 2000</w:t>
      </w:r>
    </w:p>
    <w:p w14:paraId="490AC61E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3D5F37E7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08F06BF1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0A69B9EC" w14:textId="77777777" w:rsidR="00713F57" w:rsidRPr="003C225D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150E3D26" w14:textId="77777777" w:rsidR="00E8258F" w:rsidRPr="000D59E6" w:rsidRDefault="00302BD4" w:rsidP="00302BD4">
      <w:pPr>
        <w:pStyle w:val="N1"/>
      </w:pPr>
      <w:bookmarkStart w:id="39" w:name="_Toc502913376"/>
      <w:r>
        <w:t>Ochrana obyvatelstva</w:t>
      </w:r>
      <w:bookmarkEnd w:id="39"/>
    </w:p>
    <w:p w14:paraId="5E4C86F0" w14:textId="77777777" w:rsidR="00B55C59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38E17E81" w14:textId="77777777" w:rsidR="007F7C57" w:rsidRPr="00713F57" w:rsidRDefault="007F7C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DBEE21F" w14:textId="77777777" w:rsidR="00302BD4" w:rsidRDefault="00302BD4" w:rsidP="00302BD4">
      <w:pPr>
        <w:pStyle w:val="N1"/>
      </w:pPr>
      <w:bookmarkStart w:id="40" w:name="_Toc502913377"/>
      <w:r>
        <w:t>Zásady organizace výstavby</w:t>
      </w:r>
      <w:bookmarkEnd w:id="40"/>
    </w:p>
    <w:p w14:paraId="5EF58F22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0D80FD52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2882F0D5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425DDE24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261FDEDA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lastRenderedPageBreak/>
        <w:t xml:space="preserve">Maximální zábory pro staveniště (dočasné / i trvalé). </w:t>
      </w:r>
    </w:p>
    <w:p w14:paraId="2FB50785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4EEE473E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262FEBC5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 bude odvezena na skládku interního materiálu.</w:t>
      </w:r>
    </w:p>
    <w:bookmarkEnd w:id="10"/>
    <w:p w14:paraId="17749AAB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6F5E4B24" w14:textId="52EFA58E" w:rsidR="003946F4" w:rsidRPr="00385716" w:rsidRDefault="003946F4" w:rsidP="003946F4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1E40DE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>.</w:t>
      </w:r>
      <w:r w:rsidR="001E40DE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1E40DE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p w14:paraId="0F7586B0" w14:textId="77777777" w:rsidR="003946F4" w:rsidRDefault="003946F4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sectPr w:rsidR="003946F4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E1645" w14:textId="77777777" w:rsidR="007B02D2" w:rsidRDefault="007B02D2" w:rsidP="0081121B">
      <w:r>
        <w:separator/>
      </w:r>
    </w:p>
  </w:endnote>
  <w:endnote w:type="continuationSeparator" w:id="0">
    <w:p w14:paraId="27554391" w14:textId="77777777" w:rsidR="007B02D2" w:rsidRDefault="007B02D2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6017D8" w14:paraId="067FF618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1A27DE18" w14:textId="77777777" w:rsidR="006017D8" w:rsidRDefault="006017D8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23D3376C" wp14:editId="790201F9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10B31C" w14:textId="77777777" w:rsidR="006017D8" w:rsidRPr="004D7C68" w:rsidRDefault="006017D8" w:rsidP="00A366D6">
    <w:pPr>
      <w:pStyle w:val="Zpat"/>
      <w:jc w:val="left"/>
      <w:rPr>
        <w:sz w:val="40"/>
        <w:szCs w:val="40"/>
      </w:rPr>
    </w:pPr>
  </w:p>
  <w:p w14:paraId="79B42271" w14:textId="77777777" w:rsidR="006017D8" w:rsidRDefault="006017D8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AA28F0">
      <w:rPr>
        <w:bCs w:val="0"/>
        <w:noProof/>
      </w:rPr>
      <w:t>11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AA28F0">
      <w:rPr>
        <w:bCs w:val="0"/>
        <w:noProof/>
      </w:rPr>
      <w:t>11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01828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70524A5" w14:textId="77777777" w:rsidR="00AA28F0" w:rsidRDefault="00AA28F0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128AFD9F" wp14:editId="79308883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5B963F" w14:textId="77777777" w:rsidR="00AA28F0" w:rsidRDefault="00AA28F0">
            <w:pPr>
              <w:pStyle w:val="Zpat"/>
            </w:pPr>
          </w:p>
          <w:p w14:paraId="439FD397" w14:textId="77777777" w:rsidR="00AA28F0" w:rsidRDefault="00AA28F0">
            <w:pPr>
              <w:pStyle w:val="Zpat"/>
            </w:pPr>
          </w:p>
          <w:p w14:paraId="6585267D" w14:textId="77777777" w:rsidR="00AA28F0" w:rsidRDefault="00AA28F0">
            <w:pPr>
              <w:pStyle w:val="Zpat"/>
            </w:pPr>
          </w:p>
          <w:p w14:paraId="4022730F" w14:textId="77777777" w:rsidR="00AA28F0" w:rsidRDefault="00AA28F0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04A4E4A3" w14:textId="77777777" w:rsidR="006017D8" w:rsidRPr="004D7C68" w:rsidRDefault="006017D8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E4E98" w14:textId="77777777" w:rsidR="007B02D2" w:rsidRDefault="007B02D2" w:rsidP="0081121B">
      <w:r>
        <w:separator/>
      </w:r>
    </w:p>
  </w:footnote>
  <w:footnote w:type="continuationSeparator" w:id="0">
    <w:p w14:paraId="474C16BA" w14:textId="77777777" w:rsidR="007B02D2" w:rsidRDefault="007B02D2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6017D8" w:rsidRPr="003C2764" w14:paraId="5F130743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6559AEF1" w14:textId="77777777" w:rsidR="006017D8" w:rsidRPr="00177AD3" w:rsidRDefault="006017D8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50E798CE" wp14:editId="5FDDFCA9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3C993170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5C0A6004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15125A7D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7C262980" w14:textId="77777777" w:rsidR="006017D8" w:rsidRPr="003C2764" w:rsidRDefault="006017D8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1117A65A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780A879A" w14:textId="77777777" w:rsidR="006017D8" w:rsidRPr="00177AD3" w:rsidRDefault="006017D8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6232D9D3" wp14:editId="53DB6C36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47011F39" w14:textId="77777777" w:rsidR="006017D8" w:rsidRPr="00177AD3" w:rsidRDefault="006017D8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53557999" w14:textId="77777777" w:rsidR="006017D8" w:rsidRPr="003C2764" w:rsidRDefault="006017D8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6017D8" w:rsidRPr="003C2764" w14:paraId="0E2BD2E0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5129C6A7" w14:textId="77777777" w:rsidR="006017D8" w:rsidRPr="00177AD3" w:rsidRDefault="006017D8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5D12A232" wp14:editId="2EE53201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4AB6C631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60DE1140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4248C115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7C240DA1" w14:textId="77777777" w:rsidR="006017D8" w:rsidRPr="003C2764" w:rsidRDefault="006017D8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6BDD419A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424598BE" w14:textId="77777777" w:rsidR="006017D8" w:rsidRPr="00177AD3" w:rsidRDefault="006017D8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29BC2209" wp14:editId="31728CA9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30181CD" w14:textId="77777777" w:rsidR="006017D8" w:rsidRPr="00177AD3" w:rsidRDefault="006017D8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222AB0A1" w14:textId="77777777" w:rsidR="006017D8" w:rsidRDefault="00601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05659406">
    <w:abstractNumId w:val="18"/>
  </w:num>
  <w:num w:numId="2" w16cid:durableId="1003779703">
    <w:abstractNumId w:val="13"/>
  </w:num>
  <w:num w:numId="3" w16cid:durableId="1509102042">
    <w:abstractNumId w:val="5"/>
  </w:num>
  <w:num w:numId="4" w16cid:durableId="564028698">
    <w:abstractNumId w:val="12"/>
  </w:num>
  <w:num w:numId="5" w16cid:durableId="1856460454">
    <w:abstractNumId w:val="6"/>
  </w:num>
  <w:num w:numId="6" w16cid:durableId="1244681420">
    <w:abstractNumId w:val="3"/>
  </w:num>
  <w:num w:numId="7" w16cid:durableId="1200506577">
    <w:abstractNumId w:val="23"/>
  </w:num>
  <w:num w:numId="8" w16cid:durableId="37361676">
    <w:abstractNumId w:val="24"/>
  </w:num>
  <w:num w:numId="9" w16cid:durableId="1904826538">
    <w:abstractNumId w:val="21"/>
  </w:num>
  <w:num w:numId="10" w16cid:durableId="305428310">
    <w:abstractNumId w:val="25"/>
  </w:num>
  <w:num w:numId="11" w16cid:durableId="213741814">
    <w:abstractNumId w:val="5"/>
  </w:num>
  <w:num w:numId="12" w16cid:durableId="508566937">
    <w:abstractNumId w:val="16"/>
  </w:num>
  <w:num w:numId="13" w16cid:durableId="387152727">
    <w:abstractNumId w:val="0"/>
  </w:num>
  <w:num w:numId="14" w16cid:durableId="556818661">
    <w:abstractNumId w:val="5"/>
  </w:num>
  <w:num w:numId="15" w16cid:durableId="635182111">
    <w:abstractNumId w:val="5"/>
  </w:num>
  <w:num w:numId="16" w16cid:durableId="1897164142">
    <w:abstractNumId w:val="5"/>
  </w:num>
  <w:num w:numId="17" w16cid:durableId="1517579760">
    <w:abstractNumId w:val="5"/>
  </w:num>
  <w:num w:numId="18" w16cid:durableId="106047404">
    <w:abstractNumId w:val="5"/>
  </w:num>
  <w:num w:numId="19" w16cid:durableId="182790858">
    <w:abstractNumId w:val="19"/>
  </w:num>
  <w:num w:numId="20" w16cid:durableId="1911570832">
    <w:abstractNumId w:val="5"/>
  </w:num>
  <w:num w:numId="21" w16cid:durableId="681585785">
    <w:abstractNumId w:val="5"/>
  </w:num>
  <w:num w:numId="22" w16cid:durableId="646276291">
    <w:abstractNumId w:val="11"/>
  </w:num>
  <w:num w:numId="23" w16cid:durableId="1783525733">
    <w:abstractNumId w:val="5"/>
  </w:num>
  <w:num w:numId="24" w16cid:durableId="1591427417">
    <w:abstractNumId w:val="5"/>
  </w:num>
  <w:num w:numId="25" w16cid:durableId="1212964145">
    <w:abstractNumId w:val="5"/>
  </w:num>
  <w:num w:numId="26" w16cid:durableId="468211000">
    <w:abstractNumId w:val="5"/>
  </w:num>
  <w:num w:numId="27" w16cid:durableId="2003267985">
    <w:abstractNumId w:val="5"/>
  </w:num>
  <w:num w:numId="28" w16cid:durableId="548146777">
    <w:abstractNumId w:val="5"/>
  </w:num>
  <w:num w:numId="29" w16cid:durableId="543057271">
    <w:abstractNumId w:val="4"/>
  </w:num>
  <w:num w:numId="30" w16cid:durableId="450130360">
    <w:abstractNumId w:val="10"/>
  </w:num>
  <w:num w:numId="31" w16cid:durableId="697663300">
    <w:abstractNumId w:val="5"/>
  </w:num>
  <w:num w:numId="32" w16cid:durableId="1647398632">
    <w:abstractNumId w:val="5"/>
  </w:num>
  <w:num w:numId="33" w16cid:durableId="639385755">
    <w:abstractNumId w:val="20"/>
  </w:num>
  <w:num w:numId="34" w16cid:durableId="1329479306">
    <w:abstractNumId w:val="7"/>
  </w:num>
  <w:num w:numId="35" w16cid:durableId="586502282">
    <w:abstractNumId w:val="8"/>
  </w:num>
  <w:num w:numId="36" w16cid:durableId="1310211891">
    <w:abstractNumId w:val="9"/>
  </w:num>
  <w:num w:numId="37" w16cid:durableId="687871581">
    <w:abstractNumId w:val="22"/>
  </w:num>
  <w:num w:numId="38" w16cid:durableId="1556157764">
    <w:abstractNumId w:val="1"/>
  </w:num>
  <w:num w:numId="39" w16cid:durableId="608858812">
    <w:abstractNumId w:val="14"/>
  </w:num>
  <w:num w:numId="40" w16cid:durableId="99955058">
    <w:abstractNumId w:val="17"/>
  </w:num>
  <w:num w:numId="41" w16cid:durableId="468785955">
    <w:abstractNumId w:val="5"/>
  </w:num>
  <w:num w:numId="42" w16cid:durableId="296031733">
    <w:abstractNumId w:val="5"/>
  </w:num>
  <w:num w:numId="43" w16cid:durableId="1465150668">
    <w:abstractNumId w:val="5"/>
  </w:num>
  <w:num w:numId="44" w16cid:durableId="1824617275">
    <w:abstractNumId w:val="5"/>
  </w:num>
  <w:num w:numId="45" w16cid:durableId="70011970">
    <w:abstractNumId w:val="5"/>
  </w:num>
  <w:num w:numId="46" w16cid:durableId="1615792592">
    <w:abstractNumId w:val="5"/>
  </w:num>
  <w:num w:numId="47" w16cid:durableId="1352029947">
    <w:abstractNumId w:val="2"/>
  </w:num>
  <w:num w:numId="48" w16cid:durableId="591860869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7069"/>
    <w:rsid w:val="000D4127"/>
    <w:rsid w:val="000D56EE"/>
    <w:rsid w:val="000D59E6"/>
    <w:rsid w:val="000D70BD"/>
    <w:rsid w:val="000E0A1A"/>
    <w:rsid w:val="000E0E58"/>
    <w:rsid w:val="000E1085"/>
    <w:rsid w:val="000F125A"/>
    <w:rsid w:val="000F14FD"/>
    <w:rsid w:val="000F6638"/>
    <w:rsid w:val="001107A0"/>
    <w:rsid w:val="001162E5"/>
    <w:rsid w:val="00117C54"/>
    <w:rsid w:val="00123BDC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1E40DE"/>
    <w:rsid w:val="002068DD"/>
    <w:rsid w:val="00213631"/>
    <w:rsid w:val="00222BDB"/>
    <w:rsid w:val="002269D1"/>
    <w:rsid w:val="002302DE"/>
    <w:rsid w:val="00235863"/>
    <w:rsid w:val="00237912"/>
    <w:rsid w:val="00237B61"/>
    <w:rsid w:val="00243AE8"/>
    <w:rsid w:val="002448FB"/>
    <w:rsid w:val="00245BFD"/>
    <w:rsid w:val="00246DA4"/>
    <w:rsid w:val="00247149"/>
    <w:rsid w:val="00252BBB"/>
    <w:rsid w:val="002659BF"/>
    <w:rsid w:val="00271B71"/>
    <w:rsid w:val="002720BA"/>
    <w:rsid w:val="00276514"/>
    <w:rsid w:val="0028128D"/>
    <w:rsid w:val="00281933"/>
    <w:rsid w:val="00282C39"/>
    <w:rsid w:val="00282D35"/>
    <w:rsid w:val="0028537B"/>
    <w:rsid w:val="00285AE9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E2158"/>
    <w:rsid w:val="002E38F1"/>
    <w:rsid w:val="002E76A9"/>
    <w:rsid w:val="002F194D"/>
    <w:rsid w:val="002F2B00"/>
    <w:rsid w:val="002F4876"/>
    <w:rsid w:val="002F7151"/>
    <w:rsid w:val="00301DE0"/>
    <w:rsid w:val="00302BD4"/>
    <w:rsid w:val="003045B5"/>
    <w:rsid w:val="00312743"/>
    <w:rsid w:val="00312B6A"/>
    <w:rsid w:val="0031425A"/>
    <w:rsid w:val="003265A3"/>
    <w:rsid w:val="0033057A"/>
    <w:rsid w:val="0033780C"/>
    <w:rsid w:val="0034115B"/>
    <w:rsid w:val="003439FE"/>
    <w:rsid w:val="00344399"/>
    <w:rsid w:val="00354C43"/>
    <w:rsid w:val="00363E36"/>
    <w:rsid w:val="00365492"/>
    <w:rsid w:val="00366D4B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4426"/>
    <w:rsid w:val="003C225D"/>
    <w:rsid w:val="003C2764"/>
    <w:rsid w:val="003C6B94"/>
    <w:rsid w:val="003D1A8A"/>
    <w:rsid w:val="003D22C9"/>
    <w:rsid w:val="003D68A4"/>
    <w:rsid w:val="003E4B21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5411D"/>
    <w:rsid w:val="00463228"/>
    <w:rsid w:val="00472FB0"/>
    <w:rsid w:val="00475E5B"/>
    <w:rsid w:val="00477F38"/>
    <w:rsid w:val="00480AF3"/>
    <w:rsid w:val="004826E0"/>
    <w:rsid w:val="00485B62"/>
    <w:rsid w:val="00487CC7"/>
    <w:rsid w:val="00493004"/>
    <w:rsid w:val="0049577B"/>
    <w:rsid w:val="004B186D"/>
    <w:rsid w:val="004B3FEC"/>
    <w:rsid w:val="004D36CD"/>
    <w:rsid w:val="004D7C68"/>
    <w:rsid w:val="004E319B"/>
    <w:rsid w:val="004F7267"/>
    <w:rsid w:val="00501598"/>
    <w:rsid w:val="005173FB"/>
    <w:rsid w:val="0052232D"/>
    <w:rsid w:val="00524286"/>
    <w:rsid w:val="00524AD9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993"/>
    <w:rsid w:val="00694B3C"/>
    <w:rsid w:val="006A609C"/>
    <w:rsid w:val="006A6A99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AFA"/>
    <w:rsid w:val="006F7B8B"/>
    <w:rsid w:val="00703538"/>
    <w:rsid w:val="007130E9"/>
    <w:rsid w:val="00713F57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A48"/>
    <w:rsid w:val="00773CB6"/>
    <w:rsid w:val="00783CE8"/>
    <w:rsid w:val="00784773"/>
    <w:rsid w:val="0079076D"/>
    <w:rsid w:val="00791CEB"/>
    <w:rsid w:val="0079276C"/>
    <w:rsid w:val="007B02D2"/>
    <w:rsid w:val="007B1C9C"/>
    <w:rsid w:val="007C24EE"/>
    <w:rsid w:val="007D0810"/>
    <w:rsid w:val="007D558F"/>
    <w:rsid w:val="007E61BD"/>
    <w:rsid w:val="007F700C"/>
    <w:rsid w:val="007F7C57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D7F4C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37ACE"/>
    <w:rsid w:val="00950A5B"/>
    <w:rsid w:val="00952ADC"/>
    <w:rsid w:val="00952D82"/>
    <w:rsid w:val="0095783F"/>
    <w:rsid w:val="009672A4"/>
    <w:rsid w:val="0097018A"/>
    <w:rsid w:val="00974D74"/>
    <w:rsid w:val="009751CB"/>
    <w:rsid w:val="00975878"/>
    <w:rsid w:val="00982BCE"/>
    <w:rsid w:val="00983A4C"/>
    <w:rsid w:val="00987643"/>
    <w:rsid w:val="0099326C"/>
    <w:rsid w:val="00993716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675"/>
    <w:rsid w:val="009E35EA"/>
    <w:rsid w:val="009E53C2"/>
    <w:rsid w:val="009F63F8"/>
    <w:rsid w:val="009F6DDE"/>
    <w:rsid w:val="00A03C00"/>
    <w:rsid w:val="00A078AA"/>
    <w:rsid w:val="00A101E7"/>
    <w:rsid w:val="00A12FB3"/>
    <w:rsid w:val="00A14ACB"/>
    <w:rsid w:val="00A163A4"/>
    <w:rsid w:val="00A17B62"/>
    <w:rsid w:val="00A203DD"/>
    <w:rsid w:val="00A34446"/>
    <w:rsid w:val="00A366D6"/>
    <w:rsid w:val="00A449F6"/>
    <w:rsid w:val="00A51813"/>
    <w:rsid w:val="00A633CB"/>
    <w:rsid w:val="00A704F3"/>
    <w:rsid w:val="00A77781"/>
    <w:rsid w:val="00A87F03"/>
    <w:rsid w:val="00A90326"/>
    <w:rsid w:val="00A95AF9"/>
    <w:rsid w:val="00A96E2C"/>
    <w:rsid w:val="00AA04CB"/>
    <w:rsid w:val="00AA28F0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AF371C"/>
    <w:rsid w:val="00B04B51"/>
    <w:rsid w:val="00B23B7B"/>
    <w:rsid w:val="00B26E29"/>
    <w:rsid w:val="00B275C5"/>
    <w:rsid w:val="00B32646"/>
    <w:rsid w:val="00B3329D"/>
    <w:rsid w:val="00B33E0B"/>
    <w:rsid w:val="00B40158"/>
    <w:rsid w:val="00B408CC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E26"/>
    <w:rsid w:val="00B701B5"/>
    <w:rsid w:val="00B77288"/>
    <w:rsid w:val="00B7755C"/>
    <w:rsid w:val="00B81EC7"/>
    <w:rsid w:val="00B908C8"/>
    <w:rsid w:val="00B92574"/>
    <w:rsid w:val="00B94734"/>
    <w:rsid w:val="00B956F0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319"/>
    <w:rsid w:val="00C0614C"/>
    <w:rsid w:val="00C13474"/>
    <w:rsid w:val="00C144E4"/>
    <w:rsid w:val="00C23238"/>
    <w:rsid w:val="00C25A4A"/>
    <w:rsid w:val="00C2678E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C7382"/>
    <w:rsid w:val="00CE490A"/>
    <w:rsid w:val="00CF3337"/>
    <w:rsid w:val="00CF3B2C"/>
    <w:rsid w:val="00D03BF2"/>
    <w:rsid w:val="00D0402F"/>
    <w:rsid w:val="00D20B1C"/>
    <w:rsid w:val="00D21F37"/>
    <w:rsid w:val="00D3188C"/>
    <w:rsid w:val="00D32CC5"/>
    <w:rsid w:val="00D33F27"/>
    <w:rsid w:val="00D3733E"/>
    <w:rsid w:val="00D46E34"/>
    <w:rsid w:val="00D61A10"/>
    <w:rsid w:val="00D62FB8"/>
    <w:rsid w:val="00D634BB"/>
    <w:rsid w:val="00D65853"/>
    <w:rsid w:val="00D67B21"/>
    <w:rsid w:val="00D812A4"/>
    <w:rsid w:val="00D863A3"/>
    <w:rsid w:val="00D87DC2"/>
    <w:rsid w:val="00D902C3"/>
    <w:rsid w:val="00D9252D"/>
    <w:rsid w:val="00D94650"/>
    <w:rsid w:val="00D961AC"/>
    <w:rsid w:val="00DA19B9"/>
    <w:rsid w:val="00DA2D3A"/>
    <w:rsid w:val="00DA3C4D"/>
    <w:rsid w:val="00DA4E1C"/>
    <w:rsid w:val="00DB01D1"/>
    <w:rsid w:val="00DB34A6"/>
    <w:rsid w:val="00DB4FD2"/>
    <w:rsid w:val="00DB70E7"/>
    <w:rsid w:val="00DC01E6"/>
    <w:rsid w:val="00DC1C39"/>
    <w:rsid w:val="00DD2FFE"/>
    <w:rsid w:val="00DD5717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6DB1"/>
    <w:rsid w:val="00E27EDB"/>
    <w:rsid w:val="00E365D8"/>
    <w:rsid w:val="00E41561"/>
    <w:rsid w:val="00E431F9"/>
    <w:rsid w:val="00E45EA7"/>
    <w:rsid w:val="00E51FEE"/>
    <w:rsid w:val="00E56662"/>
    <w:rsid w:val="00E61EC7"/>
    <w:rsid w:val="00E648C8"/>
    <w:rsid w:val="00E65D2F"/>
    <w:rsid w:val="00E70DA5"/>
    <w:rsid w:val="00E71B2C"/>
    <w:rsid w:val="00E812C7"/>
    <w:rsid w:val="00E8258F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6D63"/>
    <w:rsid w:val="00EC727A"/>
    <w:rsid w:val="00ED1259"/>
    <w:rsid w:val="00EE3319"/>
    <w:rsid w:val="00F02DC7"/>
    <w:rsid w:val="00F045B4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94B07"/>
    <w:rsid w:val="00F96038"/>
    <w:rsid w:val="00FA025C"/>
    <w:rsid w:val="00FA3844"/>
    <w:rsid w:val="00FA4EC3"/>
    <w:rsid w:val="00FB3116"/>
    <w:rsid w:val="00FB4DBB"/>
    <w:rsid w:val="00FB5829"/>
    <w:rsid w:val="00FC003D"/>
    <w:rsid w:val="00FC61D3"/>
    <w:rsid w:val="00FD1B52"/>
    <w:rsid w:val="00FD4A8E"/>
    <w:rsid w:val="00FD7C26"/>
    <w:rsid w:val="00FD7D31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5ABA7E"/>
  <w15:docId w15:val="{CD68A51C-30A9-442E-B16A-AB87ECBF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styleId="Normlnodsazen">
    <w:name w:val="Normal Indent"/>
    <w:rsid w:val="000F125A"/>
    <w:pPr>
      <w:ind w:left="680"/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AA28F0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FA15A-CD8D-4269-B332-DA1E6A6BC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4</TotalTime>
  <Pages>11</Pages>
  <Words>2399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16521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6</cp:revision>
  <cp:lastPrinted>2017-03-30T12:34:00Z</cp:lastPrinted>
  <dcterms:created xsi:type="dcterms:W3CDTF">2017-09-29T18:50:00Z</dcterms:created>
  <dcterms:modified xsi:type="dcterms:W3CDTF">2024-10-09T12:24:00Z</dcterms:modified>
</cp:coreProperties>
</file>